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903D7" w14:textId="4C6E5284" w:rsidR="007A1359" w:rsidRDefault="007A1359" w:rsidP="007A1359">
      <w:pPr>
        <w:pStyle w:val="paragraph"/>
        <w:spacing w:before="0" w:beforeAutospacing="0" w:after="0" w:afterAutospacing="0"/>
        <w:jc w:val="center"/>
        <w:textAlignment w:val="baseline"/>
        <w:rPr>
          <w:rStyle w:val="eop"/>
          <w:rFonts w:ascii="Calibri" w:hAnsi="Calibri" w:cs="Calibri"/>
          <w:b/>
          <w:bCs/>
          <w:sz w:val="22"/>
          <w:szCs w:val="22"/>
        </w:rPr>
      </w:pPr>
      <w:r w:rsidRPr="007A1359">
        <w:rPr>
          <w:rStyle w:val="eop"/>
          <w:rFonts w:ascii="Calibri" w:hAnsi="Calibri" w:cs="Calibri"/>
          <w:b/>
          <w:bCs/>
          <w:sz w:val="22"/>
          <w:szCs w:val="22"/>
        </w:rPr>
        <w:t>Integrating Learners into Research &amp; Q</w:t>
      </w:r>
      <w:r>
        <w:rPr>
          <w:rStyle w:val="eop"/>
          <w:rFonts w:ascii="Calibri" w:hAnsi="Calibri" w:cs="Calibri"/>
          <w:b/>
          <w:bCs/>
          <w:sz w:val="22"/>
          <w:szCs w:val="22"/>
        </w:rPr>
        <w:t xml:space="preserve">uality </w:t>
      </w:r>
      <w:r w:rsidRPr="007A1359">
        <w:rPr>
          <w:rStyle w:val="eop"/>
          <w:rFonts w:ascii="Calibri" w:hAnsi="Calibri" w:cs="Calibri"/>
          <w:b/>
          <w:bCs/>
          <w:sz w:val="22"/>
          <w:szCs w:val="22"/>
        </w:rPr>
        <w:t>I</w:t>
      </w:r>
      <w:r>
        <w:rPr>
          <w:rStyle w:val="eop"/>
          <w:rFonts w:ascii="Calibri" w:hAnsi="Calibri" w:cs="Calibri"/>
          <w:b/>
          <w:bCs/>
          <w:sz w:val="22"/>
          <w:szCs w:val="22"/>
        </w:rPr>
        <w:t>mprovement</w:t>
      </w:r>
      <w:r w:rsidRPr="007A1359">
        <w:rPr>
          <w:rStyle w:val="eop"/>
          <w:rFonts w:ascii="Calibri" w:hAnsi="Calibri" w:cs="Calibri"/>
          <w:b/>
          <w:bCs/>
          <w:sz w:val="22"/>
          <w:szCs w:val="22"/>
        </w:rPr>
        <w:t xml:space="preserve"> Projects</w:t>
      </w:r>
    </w:p>
    <w:p w14:paraId="1159D8A8" w14:textId="622CC75C" w:rsidR="007A1359" w:rsidRDefault="007A1359" w:rsidP="007A1359">
      <w:pPr>
        <w:pStyle w:val="paragraph"/>
        <w:spacing w:before="0" w:beforeAutospacing="0" w:after="0" w:afterAutospacing="0"/>
        <w:jc w:val="center"/>
        <w:textAlignment w:val="baseline"/>
        <w:rPr>
          <w:rStyle w:val="eop"/>
          <w:rFonts w:ascii="Calibri" w:hAnsi="Calibri" w:cs="Calibri"/>
          <w:b/>
          <w:bCs/>
          <w:sz w:val="22"/>
          <w:szCs w:val="22"/>
        </w:rPr>
      </w:pPr>
      <w:r w:rsidRPr="007A1359">
        <w:rPr>
          <w:rStyle w:val="eop"/>
          <w:rFonts w:ascii="Calibri" w:hAnsi="Calibri" w:cs="Calibri"/>
          <w:b/>
          <w:bCs/>
          <w:sz w:val="22"/>
          <w:szCs w:val="22"/>
        </w:rPr>
        <w:t xml:space="preserve"> </w:t>
      </w:r>
    </w:p>
    <w:p w14:paraId="4619DAFF" w14:textId="08452CC5" w:rsidR="007A1359" w:rsidRPr="007A1359" w:rsidRDefault="007A1359" w:rsidP="007A1359">
      <w:pPr>
        <w:pStyle w:val="paragraph"/>
        <w:spacing w:before="0" w:beforeAutospacing="0" w:after="0" w:afterAutospacing="0"/>
        <w:jc w:val="center"/>
        <w:textAlignment w:val="baseline"/>
        <w:rPr>
          <w:rStyle w:val="eop"/>
          <w:rFonts w:ascii="Calibri" w:hAnsi="Calibri" w:cs="Calibri"/>
          <w:b/>
          <w:bCs/>
          <w:i/>
          <w:iCs/>
          <w:sz w:val="22"/>
          <w:szCs w:val="22"/>
        </w:rPr>
      </w:pPr>
      <w:r w:rsidRPr="007A1359">
        <w:rPr>
          <w:rStyle w:val="eop"/>
          <w:rFonts w:ascii="Calibri" w:hAnsi="Calibri" w:cs="Calibri"/>
          <w:b/>
          <w:bCs/>
          <w:i/>
          <w:iCs/>
          <w:sz w:val="22"/>
          <w:szCs w:val="22"/>
        </w:rPr>
        <w:t>A Joint Opinion of the Adult Medicine and Education and Training Practice Research Network</w:t>
      </w:r>
      <w:r>
        <w:rPr>
          <w:rStyle w:val="eop"/>
          <w:rFonts w:ascii="Calibri" w:hAnsi="Calibri" w:cs="Calibri"/>
          <w:b/>
          <w:bCs/>
          <w:i/>
          <w:iCs/>
          <w:sz w:val="22"/>
          <w:szCs w:val="22"/>
        </w:rPr>
        <w:t>s</w:t>
      </w:r>
      <w:r w:rsidRPr="007A1359">
        <w:rPr>
          <w:rStyle w:val="eop"/>
          <w:rFonts w:ascii="Calibri" w:hAnsi="Calibri" w:cs="Calibri"/>
          <w:b/>
          <w:bCs/>
          <w:i/>
          <w:iCs/>
          <w:sz w:val="22"/>
          <w:szCs w:val="22"/>
        </w:rPr>
        <w:t xml:space="preserve"> of the American College of Clinical Pharmacy</w:t>
      </w:r>
    </w:p>
    <w:p w14:paraId="21F7350D" w14:textId="77777777" w:rsidR="007A1359" w:rsidRDefault="007A1359" w:rsidP="00565A2C">
      <w:pPr>
        <w:pStyle w:val="paragraph"/>
        <w:spacing w:before="0" w:beforeAutospacing="0" w:after="0" w:afterAutospacing="0"/>
        <w:textAlignment w:val="baseline"/>
        <w:rPr>
          <w:rStyle w:val="eop"/>
          <w:rFonts w:ascii="Calibri" w:hAnsi="Calibri" w:cs="Calibri"/>
          <w:b/>
          <w:bCs/>
          <w:sz w:val="22"/>
          <w:szCs w:val="22"/>
        </w:rPr>
      </w:pPr>
    </w:p>
    <w:p w14:paraId="5427A27E" w14:textId="2EA69009" w:rsidR="007A1359" w:rsidRDefault="007A1359" w:rsidP="00565A2C">
      <w:pPr>
        <w:pStyle w:val="paragraph"/>
        <w:spacing w:before="0" w:beforeAutospacing="0" w:after="0" w:afterAutospacing="0"/>
        <w:textAlignment w:val="baseline"/>
        <w:rPr>
          <w:rStyle w:val="eop"/>
          <w:rFonts w:ascii="Calibri" w:hAnsi="Calibri" w:cs="Calibri"/>
          <w:b/>
          <w:bCs/>
          <w:sz w:val="22"/>
          <w:szCs w:val="22"/>
        </w:rPr>
      </w:pPr>
      <w:r>
        <w:rPr>
          <w:rStyle w:val="eop"/>
          <w:rFonts w:ascii="Calibri" w:hAnsi="Calibri" w:cs="Calibri"/>
          <w:b/>
          <w:bCs/>
          <w:sz w:val="22"/>
          <w:szCs w:val="22"/>
        </w:rPr>
        <w:t xml:space="preserve">Running Title (&lt;40 characters): </w:t>
      </w:r>
      <w:r w:rsidRPr="007A1359">
        <w:rPr>
          <w:rStyle w:val="eop"/>
          <w:rFonts w:ascii="Calibri" w:hAnsi="Calibri" w:cs="Calibri"/>
          <w:sz w:val="22"/>
          <w:szCs w:val="22"/>
        </w:rPr>
        <w:t>Integrating Learners into Research</w:t>
      </w:r>
    </w:p>
    <w:p w14:paraId="728E4411" w14:textId="77777777" w:rsidR="000B7B18" w:rsidRDefault="000B7B18" w:rsidP="00565A2C">
      <w:pPr>
        <w:pStyle w:val="paragraph"/>
        <w:spacing w:before="0" w:beforeAutospacing="0" w:after="0" w:afterAutospacing="0"/>
        <w:textAlignment w:val="baseline"/>
        <w:rPr>
          <w:rStyle w:val="eop"/>
          <w:rFonts w:ascii="Calibri" w:hAnsi="Calibri" w:cs="Calibri"/>
          <w:b/>
          <w:bCs/>
          <w:sz w:val="22"/>
          <w:szCs w:val="22"/>
        </w:rPr>
      </w:pPr>
    </w:p>
    <w:p w14:paraId="06A8AA7B" w14:textId="6222DE59" w:rsidR="007A1359" w:rsidRDefault="706FDD62" w:rsidP="2B8528EF">
      <w:pPr>
        <w:pStyle w:val="paragraph"/>
        <w:spacing w:before="0" w:beforeAutospacing="0" w:after="0" w:afterAutospacing="0"/>
        <w:jc w:val="center"/>
        <w:textAlignment w:val="baseline"/>
        <w:rPr>
          <w:rStyle w:val="eop"/>
          <w:rFonts w:ascii="Calibri" w:hAnsi="Calibri" w:cs="Calibri"/>
          <w:sz w:val="22"/>
          <w:szCs w:val="22"/>
        </w:rPr>
      </w:pPr>
      <w:r w:rsidRPr="2B8528EF">
        <w:rPr>
          <w:rStyle w:val="eop"/>
          <w:rFonts w:ascii="Calibri" w:hAnsi="Calibri" w:cs="Calibri"/>
          <w:sz w:val="22"/>
          <w:szCs w:val="22"/>
        </w:rPr>
        <w:t>Taylor D. Steuber</w:t>
      </w:r>
      <w:r w:rsidR="31A046E0" w:rsidRPr="2B8528EF">
        <w:rPr>
          <w:rStyle w:val="eop"/>
          <w:rFonts w:ascii="Calibri" w:hAnsi="Calibri" w:cs="Calibri"/>
          <w:sz w:val="22"/>
          <w:szCs w:val="22"/>
          <w:vertAlign w:val="superscript"/>
        </w:rPr>
        <w:t>a</w:t>
      </w:r>
      <w:r w:rsidRPr="2B8528EF">
        <w:rPr>
          <w:rStyle w:val="eop"/>
          <w:rFonts w:ascii="Calibri" w:hAnsi="Calibri" w:cs="Calibri"/>
          <w:sz w:val="22"/>
          <w:szCs w:val="22"/>
        </w:rPr>
        <w:t>, PharmD</w:t>
      </w:r>
      <w:r w:rsidR="31A046E0" w:rsidRPr="2B8528EF">
        <w:rPr>
          <w:rStyle w:val="eop"/>
          <w:rFonts w:ascii="Calibri" w:hAnsi="Calibri" w:cs="Calibri"/>
          <w:sz w:val="22"/>
          <w:szCs w:val="22"/>
        </w:rPr>
        <w:t xml:space="preserve">; </w:t>
      </w:r>
      <w:r w:rsidRPr="2B8528EF">
        <w:rPr>
          <w:rStyle w:val="eop"/>
          <w:rFonts w:ascii="Calibri" w:hAnsi="Calibri" w:cs="Calibri"/>
          <w:sz w:val="22"/>
          <w:szCs w:val="22"/>
        </w:rPr>
        <w:t>Jimmy Gonzalez</w:t>
      </w:r>
      <w:r w:rsidR="5B1EFEF2" w:rsidRPr="2B8528EF">
        <w:rPr>
          <w:rStyle w:val="eop"/>
          <w:rFonts w:ascii="Calibri" w:hAnsi="Calibri" w:cs="Calibri"/>
          <w:sz w:val="22"/>
          <w:szCs w:val="22"/>
          <w:vertAlign w:val="superscript"/>
        </w:rPr>
        <w:t>b</w:t>
      </w:r>
      <w:r w:rsidR="31A046E0" w:rsidRPr="2B8528EF">
        <w:rPr>
          <w:rStyle w:val="eop"/>
          <w:rFonts w:ascii="Calibri" w:hAnsi="Calibri" w:cs="Calibri"/>
          <w:sz w:val="22"/>
          <w:szCs w:val="22"/>
        </w:rPr>
        <w:t>, PharmD; Alex N. Isaacs</w:t>
      </w:r>
      <w:r w:rsidR="31A046E0" w:rsidRPr="2B8528EF">
        <w:rPr>
          <w:rStyle w:val="eop"/>
          <w:rFonts w:ascii="Calibri" w:hAnsi="Calibri" w:cs="Calibri"/>
          <w:sz w:val="22"/>
          <w:szCs w:val="22"/>
          <w:vertAlign w:val="superscript"/>
        </w:rPr>
        <w:t>c</w:t>
      </w:r>
      <w:r w:rsidR="31A046E0" w:rsidRPr="2B8528EF">
        <w:rPr>
          <w:rStyle w:val="eop"/>
          <w:rFonts w:ascii="Calibri" w:hAnsi="Calibri" w:cs="Calibri"/>
          <w:sz w:val="22"/>
          <w:szCs w:val="22"/>
        </w:rPr>
        <w:t xml:space="preserve">, PharmD, MS; </w:t>
      </w:r>
      <w:r w:rsidR="7D2B19C3" w:rsidRPr="2B8528EF">
        <w:rPr>
          <w:rStyle w:val="eop"/>
          <w:rFonts w:ascii="Calibri" w:hAnsi="Calibri" w:cs="Calibri"/>
          <w:sz w:val="22"/>
          <w:szCs w:val="22"/>
        </w:rPr>
        <w:t>Kristi</w:t>
      </w:r>
      <w:r w:rsidR="6EDDCE0E" w:rsidRPr="2B8528EF">
        <w:rPr>
          <w:rStyle w:val="eop"/>
          <w:rFonts w:ascii="Calibri" w:hAnsi="Calibri" w:cs="Calibri"/>
          <w:sz w:val="22"/>
          <w:szCs w:val="22"/>
        </w:rPr>
        <w:t xml:space="preserve"> W.</w:t>
      </w:r>
      <w:r w:rsidR="7D2B19C3" w:rsidRPr="2B8528EF">
        <w:rPr>
          <w:rStyle w:val="eop"/>
          <w:rFonts w:ascii="Calibri" w:hAnsi="Calibri" w:cs="Calibri"/>
          <w:sz w:val="22"/>
          <w:szCs w:val="22"/>
        </w:rPr>
        <w:t xml:space="preserve"> Kelley</w:t>
      </w:r>
      <w:r w:rsidR="7D2B19C3" w:rsidRPr="2B8528EF">
        <w:rPr>
          <w:rStyle w:val="eop"/>
          <w:rFonts w:ascii="Calibri" w:hAnsi="Calibri" w:cs="Calibri"/>
          <w:sz w:val="22"/>
          <w:szCs w:val="22"/>
          <w:vertAlign w:val="superscript"/>
        </w:rPr>
        <w:t>d</w:t>
      </w:r>
      <w:r w:rsidR="7D2B19C3" w:rsidRPr="2B8528EF">
        <w:rPr>
          <w:rStyle w:val="eop"/>
          <w:rFonts w:ascii="Calibri" w:hAnsi="Calibri" w:cs="Calibri"/>
          <w:sz w:val="22"/>
          <w:szCs w:val="22"/>
        </w:rPr>
        <w:t>, PharmD, FCCP; Sarah A. Nisly</w:t>
      </w:r>
      <w:r w:rsidR="7D2B19C3" w:rsidRPr="2B8528EF">
        <w:rPr>
          <w:rStyle w:val="eop"/>
          <w:rFonts w:ascii="Calibri" w:hAnsi="Calibri" w:cs="Calibri"/>
          <w:sz w:val="22"/>
          <w:szCs w:val="22"/>
          <w:vertAlign w:val="superscript"/>
        </w:rPr>
        <w:t>e</w:t>
      </w:r>
      <w:r w:rsidR="7D2B19C3" w:rsidRPr="2B8528EF">
        <w:rPr>
          <w:rStyle w:val="eop"/>
          <w:rFonts w:ascii="Calibri" w:hAnsi="Calibri" w:cs="Calibri"/>
          <w:sz w:val="22"/>
          <w:szCs w:val="22"/>
        </w:rPr>
        <w:t>, PharmD, MEd, FCCP; Jennifer A. Szwak</w:t>
      </w:r>
      <w:r w:rsidR="7D2B19C3" w:rsidRPr="2B8528EF">
        <w:rPr>
          <w:rStyle w:val="eop"/>
          <w:rFonts w:ascii="Calibri" w:hAnsi="Calibri" w:cs="Calibri"/>
          <w:sz w:val="22"/>
          <w:szCs w:val="22"/>
          <w:vertAlign w:val="superscript"/>
        </w:rPr>
        <w:t>f</w:t>
      </w:r>
      <w:r w:rsidR="7D2B19C3" w:rsidRPr="2B8528EF">
        <w:rPr>
          <w:rStyle w:val="eop"/>
          <w:rFonts w:ascii="Calibri" w:hAnsi="Calibri" w:cs="Calibri"/>
          <w:sz w:val="22"/>
          <w:szCs w:val="22"/>
        </w:rPr>
        <w:t>, PharmD, FCCP; Lisa Hong</w:t>
      </w:r>
      <w:r w:rsidR="7D2B19C3" w:rsidRPr="2B8528EF">
        <w:rPr>
          <w:rStyle w:val="eop"/>
          <w:rFonts w:ascii="Calibri" w:hAnsi="Calibri" w:cs="Calibri"/>
          <w:sz w:val="22"/>
          <w:szCs w:val="22"/>
          <w:vertAlign w:val="superscript"/>
        </w:rPr>
        <w:t>g</w:t>
      </w:r>
      <w:r w:rsidR="7D2B19C3" w:rsidRPr="2B8528EF">
        <w:rPr>
          <w:rStyle w:val="eop"/>
          <w:rFonts w:ascii="Calibri" w:hAnsi="Calibri" w:cs="Calibri"/>
          <w:sz w:val="22"/>
          <w:szCs w:val="22"/>
        </w:rPr>
        <w:t xml:space="preserve">, PharmD; </w:t>
      </w:r>
      <w:r w:rsidRPr="2B8528EF">
        <w:rPr>
          <w:rStyle w:val="eop"/>
          <w:rFonts w:ascii="Calibri" w:hAnsi="Calibri" w:cs="Calibri"/>
          <w:sz w:val="22"/>
          <w:szCs w:val="22"/>
        </w:rPr>
        <w:t xml:space="preserve">Meredith </w:t>
      </w:r>
      <w:r w:rsidR="31A046E0" w:rsidRPr="2B8528EF">
        <w:rPr>
          <w:rStyle w:val="eop"/>
          <w:rFonts w:ascii="Calibri" w:hAnsi="Calibri" w:cs="Calibri"/>
          <w:sz w:val="22"/>
          <w:szCs w:val="22"/>
        </w:rPr>
        <w:t xml:space="preserve">L. </w:t>
      </w:r>
      <w:r w:rsidRPr="2B8528EF">
        <w:rPr>
          <w:rStyle w:val="eop"/>
          <w:rFonts w:ascii="Calibri" w:hAnsi="Calibri" w:cs="Calibri"/>
          <w:sz w:val="22"/>
          <w:szCs w:val="22"/>
        </w:rPr>
        <w:t>Howard</w:t>
      </w:r>
      <w:r w:rsidR="7D2B19C3" w:rsidRPr="2B8528EF">
        <w:rPr>
          <w:rStyle w:val="eop"/>
          <w:rFonts w:ascii="Calibri" w:hAnsi="Calibri" w:cs="Calibri"/>
          <w:sz w:val="22"/>
          <w:szCs w:val="22"/>
          <w:vertAlign w:val="superscript"/>
        </w:rPr>
        <w:t>h</w:t>
      </w:r>
      <w:r w:rsidR="31A046E0" w:rsidRPr="2B8528EF">
        <w:rPr>
          <w:rStyle w:val="eop"/>
          <w:rFonts w:ascii="Calibri" w:hAnsi="Calibri" w:cs="Calibri"/>
          <w:sz w:val="22"/>
          <w:szCs w:val="22"/>
        </w:rPr>
        <w:t>, PharmD</w:t>
      </w:r>
    </w:p>
    <w:p w14:paraId="549B3D12" w14:textId="77777777" w:rsidR="000B7B18" w:rsidRPr="007A1359" w:rsidRDefault="000B7B18" w:rsidP="00565A2C">
      <w:pPr>
        <w:pStyle w:val="paragraph"/>
        <w:spacing w:before="0" w:beforeAutospacing="0" w:after="0" w:afterAutospacing="0"/>
        <w:textAlignment w:val="baseline"/>
        <w:rPr>
          <w:rStyle w:val="eop"/>
          <w:rFonts w:ascii="Calibri" w:hAnsi="Calibri" w:cs="Calibri"/>
          <w:sz w:val="22"/>
          <w:szCs w:val="22"/>
        </w:rPr>
      </w:pPr>
    </w:p>
    <w:p w14:paraId="0141ED67" w14:textId="0B81AE8F" w:rsidR="00E85BB8" w:rsidRDefault="00E85BB8" w:rsidP="00E85BB8">
      <w:pPr>
        <w:pStyle w:val="paragraph"/>
        <w:numPr>
          <w:ilvl w:val="0"/>
          <w:numId w:val="26"/>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University of Missouri – Kansas City School of Pharmacy at MU; Columbia, MO</w:t>
      </w:r>
    </w:p>
    <w:p w14:paraId="5AC0D11D" w14:textId="6500111A" w:rsidR="00E85BB8" w:rsidRDefault="00E85BB8" w:rsidP="00E85BB8">
      <w:pPr>
        <w:pStyle w:val="paragraph"/>
        <w:numPr>
          <w:ilvl w:val="0"/>
          <w:numId w:val="26"/>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Ernest Mario School of Pharmacy, Rutgers University; </w:t>
      </w:r>
      <w:r w:rsidRPr="00E85BB8">
        <w:rPr>
          <w:rStyle w:val="eop"/>
          <w:rFonts w:ascii="Calibri" w:hAnsi="Calibri" w:cs="Calibri"/>
          <w:sz w:val="22"/>
          <w:szCs w:val="22"/>
        </w:rPr>
        <w:t>Piscataway, NJ</w:t>
      </w:r>
    </w:p>
    <w:p w14:paraId="763A31B1" w14:textId="6ACF8AFA" w:rsidR="000B7B18" w:rsidRDefault="000B7B18" w:rsidP="00E85BB8">
      <w:pPr>
        <w:pStyle w:val="paragraph"/>
        <w:numPr>
          <w:ilvl w:val="0"/>
          <w:numId w:val="26"/>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Purdue University College of Pharmacy; West Lafayette, IN</w:t>
      </w:r>
    </w:p>
    <w:p w14:paraId="067AD5F6" w14:textId="02CC1839" w:rsidR="000B7B18" w:rsidRDefault="000B7B18" w:rsidP="000B7B18">
      <w:pPr>
        <w:pStyle w:val="paragraph"/>
        <w:numPr>
          <w:ilvl w:val="0"/>
          <w:numId w:val="26"/>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Auburn University Harrison College of Pharmacy; Birmingham, AL</w:t>
      </w:r>
    </w:p>
    <w:p w14:paraId="5EF02458" w14:textId="2B5BD711" w:rsidR="000B7B18" w:rsidRDefault="7D2B19C3">
      <w:pPr>
        <w:pStyle w:val="paragraph"/>
        <w:numPr>
          <w:ilvl w:val="0"/>
          <w:numId w:val="26"/>
        </w:numPr>
        <w:spacing w:before="0" w:beforeAutospacing="0" w:after="0" w:afterAutospacing="0"/>
      </w:pPr>
      <w:r w:rsidRPr="2B8528EF">
        <w:rPr>
          <w:rStyle w:val="eop"/>
          <w:rFonts w:ascii="Calibri" w:hAnsi="Calibri" w:cs="Calibri"/>
          <w:sz w:val="22"/>
          <w:szCs w:val="22"/>
        </w:rPr>
        <w:t xml:space="preserve">Clinical Education Alliance, </w:t>
      </w:r>
      <w:r w:rsidR="7AD25504" w:rsidRPr="2B8528EF">
        <w:rPr>
          <w:rStyle w:val="eop"/>
          <w:rFonts w:ascii="Calibri" w:hAnsi="Calibri" w:cs="Calibri"/>
          <w:sz w:val="22"/>
          <w:szCs w:val="22"/>
        </w:rPr>
        <w:t>Reston, VA</w:t>
      </w:r>
    </w:p>
    <w:p w14:paraId="62690A10" w14:textId="5CEAF93B" w:rsidR="000B7B18" w:rsidRDefault="7D2B19C3" w:rsidP="000B7B18">
      <w:pPr>
        <w:pStyle w:val="paragraph"/>
        <w:numPr>
          <w:ilvl w:val="0"/>
          <w:numId w:val="26"/>
        </w:numPr>
        <w:spacing w:before="0" w:beforeAutospacing="0" w:after="0" w:afterAutospacing="0"/>
        <w:textAlignment w:val="baseline"/>
        <w:rPr>
          <w:rStyle w:val="eop"/>
          <w:rFonts w:ascii="Calibri" w:hAnsi="Calibri" w:cs="Calibri"/>
          <w:sz w:val="22"/>
          <w:szCs w:val="22"/>
        </w:rPr>
      </w:pPr>
      <w:r w:rsidRPr="2B8528EF">
        <w:rPr>
          <w:rStyle w:val="eop"/>
          <w:rFonts w:ascii="Calibri" w:hAnsi="Calibri" w:cs="Calibri"/>
          <w:sz w:val="22"/>
          <w:szCs w:val="22"/>
        </w:rPr>
        <w:t>The Johns Hopkins Hospital; Baltimore, MD</w:t>
      </w:r>
    </w:p>
    <w:p w14:paraId="37080B6F" w14:textId="27EABF0E" w:rsidR="000B7B18" w:rsidRPr="000B7B18" w:rsidRDefault="7D2B19C3" w:rsidP="000B7B18">
      <w:pPr>
        <w:pStyle w:val="paragraph"/>
        <w:numPr>
          <w:ilvl w:val="0"/>
          <w:numId w:val="26"/>
        </w:numPr>
        <w:spacing w:before="0" w:beforeAutospacing="0" w:after="0" w:afterAutospacing="0"/>
        <w:textAlignment w:val="baseline"/>
        <w:rPr>
          <w:rStyle w:val="eop"/>
          <w:rFonts w:ascii="Calibri" w:hAnsi="Calibri" w:cs="Calibri"/>
          <w:sz w:val="22"/>
          <w:szCs w:val="22"/>
        </w:rPr>
      </w:pPr>
      <w:r w:rsidRPr="2B8528EF">
        <w:rPr>
          <w:rStyle w:val="eop"/>
          <w:rFonts w:ascii="Calibri" w:hAnsi="Calibri" w:cs="Calibri"/>
          <w:sz w:val="22"/>
          <w:szCs w:val="22"/>
        </w:rPr>
        <w:t>Loma Linda University School of Pharmacy; Loma Linda, CA</w:t>
      </w:r>
    </w:p>
    <w:p w14:paraId="0A299C9B" w14:textId="1C497ACA" w:rsidR="00E85BB8" w:rsidRPr="007A1359" w:rsidRDefault="0DC746A7" w:rsidP="7BBD1B22">
      <w:pPr>
        <w:pStyle w:val="paragraph"/>
        <w:numPr>
          <w:ilvl w:val="0"/>
          <w:numId w:val="26"/>
        </w:numPr>
        <w:spacing w:before="0" w:beforeAutospacing="0" w:after="0" w:afterAutospacing="0"/>
        <w:textAlignment w:val="baseline"/>
        <w:rPr>
          <w:rStyle w:val="eop"/>
          <w:rFonts w:ascii="Calibri" w:hAnsi="Calibri" w:cs="Calibri"/>
          <w:sz w:val="22"/>
          <w:szCs w:val="22"/>
        </w:rPr>
      </w:pPr>
      <w:r w:rsidRPr="7BBD1B22">
        <w:rPr>
          <w:rStyle w:val="eop"/>
          <w:rFonts w:ascii="Calibri" w:hAnsi="Calibri" w:cs="Calibri"/>
          <w:sz w:val="22"/>
          <w:szCs w:val="22"/>
        </w:rPr>
        <w:t xml:space="preserve">University of North Texas Health Science Center </w:t>
      </w:r>
      <w:r w:rsidR="20707582" w:rsidRPr="7BBD1B22">
        <w:rPr>
          <w:rStyle w:val="eop"/>
          <w:rFonts w:ascii="Calibri" w:hAnsi="Calibri" w:cs="Calibri"/>
          <w:sz w:val="22"/>
          <w:szCs w:val="22"/>
        </w:rPr>
        <w:t>College of Pharmacy</w:t>
      </w:r>
      <w:r w:rsidRPr="7BBD1B22">
        <w:rPr>
          <w:rStyle w:val="eop"/>
          <w:rFonts w:ascii="Calibri" w:hAnsi="Calibri" w:cs="Calibri"/>
          <w:sz w:val="22"/>
          <w:szCs w:val="22"/>
        </w:rPr>
        <w:t>; Fort Worth, TX</w:t>
      </w:r>
    </w:p>
    <w:p w14:paraId="4B81206F" w14:textId="77777777" w:rsidR="007A1359" w:rsidRDefault="007A1359" w:rsidP="00565A2C">
      <w:pPr>
        <w:pStyle w:val="paragraph"/>
        <w:spacing w:before="0" w:beforeAutospacing="0" w:after="0" w:afterAutospacing="0"/>
        <w:textAlignment w:val="baseline"/>
        <w:rPr>
          <w:rStyle w:val="eop"/>
          <w:rFonts w:ascii="Calibri" w:hAnsi="Calibri" w:cs="Calibri"/>
          <w:b/>
          <w:bCs/>
          <w:sz w:val="22"/>
          <w:szCs w:val="22"/>
        </w:rPr>
      </w:pPr>
    </w:p>
    <w:p w14:paraId="5ECEBE6C" w14:textId="77777777" w:rsidR="000B7B18" w:rsidRDefault="000B7B18" w:rsidP="000B7B18">
      <w:pPr>
        <w:pStyle w:val="paragraph"/>
        <w:spacing w:before="0" w:beforeAutospacing="0" w:after="0" w:afterAutospacing="0"/>
        <w:textAlignment w:val="baseline"/>
        <w:rPr>
          <w:rStyle w:val="eop"/>
          <w:rFonts w:ascii="Calibri" w:hAnsi="Calibri" w:cs="Calibri"/>
          <w:b/>
          <w:bCs/>
          <w:sz w:val="22"/>
          <w:szCs w:val="22"/>
        </w:rPr>
      </w:pPr>
      <w:r>
        <w:rPr>
          <w:rStyle w:val="eop"/>
          <w:rFonts w:ascii="Calibri" w:hAnsi="Calibri" w:cs="Calibri"/>
          <w:b/>
          <w:bCs/>
          <w:sz w:val="22"/>
          <w:szCs w:val="22"/>
        </w:rPr>
        <w:t>Corresponding Author:</w:t>
      </w:r>
    </w:p>
    <w:p w14:paraId="54C4EAE1" w14:textId="0A897B02" w:rsidR="000B7B18" w:rsidRPr="000B7B18" w:rsidRDefault="000B7B18" w:rsidP="000B7B18">
      <w:pPr>
        <w:pStyle w:val="paragraph"/>
        <w:spacing w:before="0" w:beforeAutospacing="0" w:after="0" w:afterAutospacing="0"/>
        <w:textAlignment w:val="baseline"/>
        <w:rPr>
          <w:rStyle w:val="eop"/>
          <w:rFonts w:ascii="Calibri" w:hAnsi="Calibri" w:cs="Calibri"/>
          <w:sz w:val="22"/>
          <w:szCs w:val="22"/>
        </w:rPr>
      </w:pPr>
      <w:r w:rsidRPr="000B7B18">
        <w:rPr>
          <w:rStyle w:val="eop"/>
          <w:rFonts w:ascii="Calibri" w:hAnsi="Calibri" w:cs="Calibri"/>
          <w:sz w:val="22"/>
          <w:szCs w:val="22"/>
        </w:rPr>
        <w:t>Taylor Steuber, PharmD, BCPS</w:t>
      </w:r>
    </w:p>
    <w:p w14:paraId="5A9E886F" w14:textId="77777777" w:rsidR="000B7B18" w:rsidRPr="000B7B18" w:rsidRDefault="000B7B18" w:rsidP="000B7B18">
      <w:pPr>
        <w:pStyle w:val="paragraph"/>
        <w:spacing w:before="0" w:beforeAutospacing="0" w:after="0" w:afterAutospacing="0"/>
        <w:textAlignment w:val="baseline"/>
        <w:rPr>
          <w:rStyle w:val="eop"/>
          <w:rFonts w:ascii="Calibri" w:hAnsi="Calibri" w:cs="Calibri"/>
          <w:sz w:val="22"/>
          <w:szCs w:val="22"/>
        </w:rPr>
      </w:pPr>
      <w:r w:rsidRPr="000B7B18">
        <w:rPr>
          <w:rStyle w:val="eop"/>
          <w:rFonts w:ascii="Calibri" w:hAnsi="Calibri" w:cs="Calibri"/>
          <w:sz w:val="22"/>
          <w:szCs w:val="22"/>
        </w:rPr>
        <w:t>University of Missouri – Kansas City School of Pharmacy at MU</w:t>
      </w:r>
    </w:p>
    <w:p w14:paraId="38D3E269" w14:textId="77777777" w:rsidR="000B7B18" w:rsidRPr="000B7B18" w:rsidRDefault="000B7B18" w:rsidP="000B7B18">
      <w:pPr>
        <w:pStyle w:val="paragraph"/>
        <w:spacing w:before="0" w:beforeAutospacing="0" w:after="0" w:afterAutospacing="0"/>
        <w:textAlignment w:val="baseline"/>
        <w:rPr>
          <w:rStyle w:val="eop"/>
          <w:rFonts w:ascii="Calibri" w:hAnsi="Calibri" w:cs="Calibri"/>
          <w:sz w:val="22"/>
          <w:szCs w:val="22"/>
        </w:rPr>
      </w:pPr>
      <w:r w:rsidRPr="000B7B18">
        <w:rPr>
          <w:rStyle w:val="eop"/>
          <w:rFonts w:ascii="Calibri" w:hAnsi="Calibri" w:cs="Calibri"/>
          <w:sz w:val="22"/>
          <w:szCs w:val="22"/>
        </w:rPr>
        <w:t>809 Lewis Hall</w:t>
      </w:r>
    </w:p>
    <w:p w14:paraId="73ACC364" w14:textId="77777777" w:rsidR="000B7B18" w:rsidRPr="000B7B18" w:rsidRDefault="000B7B18" w:rsidP="000B7B18">
      <w:pPr>
        <w:pStyle w:val="paragraph"/>
        <w:spacing w:before="0" w:beforeAutospacing="0" w:after="0" w:afterAutospacing="0"/>
        <w:textAlignment w:val="baseline"/>
        <w:rPr>
          <w:rStyle w:val="eop"/>
          <w:rFonts w:ascii="Calibri" w:hAnsi="Calibri" w:cs="Calibri"/>
          <w:sz w:val="22"/>
          <w:szCs w:val="22"/>
        </w:rPr>
      </w:pPr>
      <w:r w:rsidRPr="000B7B18">
        <w:rPr>
          <w:rStyle w:val="eop"/>
          <w:rFonts w:ascii="Calibri" w:hAnsi="Calibri" w:cs="Calibri"/>
          <w:sz w:val="22"/>
          <w:szCs w:val="22"/>
        </w:rPr>
        <w:t>Columbia, MO 65211</w:t>
      </w:r>
    </w:p>
    <w:p w14:paraId="67C1D99D" w14:textId="77777777" w:rsidR="000B7B18" w:rsidRPr="000B7B18" w:rsidRDefault="000B7B18" w:rsidP="000B7B18">
      <w:pPr>
        <w:pStyle w:val="paragraph"/>
        <w:spacing w:before="0" w:beforeAutospacing="0" w:after="0" w:afterAutospacing="0"/>
        <w:textAlignment w:val="baseline"/>
        <w:rPr>
          <w:rStyle w:val="eop"/>
          <w:rFonts w:ascii="Calibri" w:hAnsi="Calibri" w:cs="Calibri"/>
          <w:sz w:val="22"/>
          <w:szCs w:val="22"/>
        </w:rPr>
      </w:pPr>
      <w:r w:rsidRPr="000B7B18">
        <w:rPr>
          <w:rStyle w:val="eop"/>
          <w:rFonts w:ascii="Calibri" w:hAnsi="Calibri" w:cs="Calibri"/>
          <w:sz w:val="22"/>
          <w:szCs w:val="22"/>
        </w:rPr>
        <w:t xml:space="preserve">steubertd@umkc.edu </w:t>
      </w:r>
    </w:p>
    <w:p w14:paraId="74ADA4B3" w14:textId="77777777" w:rsidR="000B7B18" w:rsidRPr="000B7B18" w:rsidRDefault="000B7B18" w:rsidP="000B7B18">
      <w:pPr>
        <w:pStyle w:val="paragraph"/>
        <w:spacing w:before="0" w:beforeAutospacing="0" w:after="0" w:afterAutospacing="0"/>
        <w:textAlignment w:val="baseline"/>
        <w:rPr>
          <w:rStyle w:val="eop"/>
          <w:rFonts w:ascii="Calibri" w:hAnsi="Calibri" w:cs="Calibri"/>
          <w:sz w:val="22"/>
          <w:szCs w:val="22"/>
        </w:rPr>
      </w:pPr>
      <w:r w:rsidRPr="000B7B18">
        <w:rPr>
          <w:rStyle w:val="eop"/>
          <w:rFonts w:ascii="Calibri" w:hAnsi="Calibri" w:cs="Calibri"/>
          <w:sz w:val="22"/>
          <w:szCs w:val="22"/>
        </w:rPr>
        <w:t>Office: 573-884-9679</w:t>
      </w:r>
    </w:p>
    <w:p w14:paraId="5273464F" w14:textId="5DADEEC3" w:rsidR="000B7B18" w:rsidRPr="000B7B18" w:rsidRDefault="000B7B18" w:rsidP="000B7B18">
      <w:pPr>
        <w:pStyle w:val="paragraph"/>
        <w:spacing w:before="0" w:beforeAutospacing="0" w:after="0" w:afterAutospacing="0"/>
        <w:textAlignment w:val="baseline"/>
        <w:rPr>
          <w:rStyle w:val="eop"/>
          <w:rFonts w:ascii="Calibri" w:hAnsi="Calibri" w:cs="Calibri"/>
          <w:sz w:val="22"/>
          <w:szCs w:val="22"/>
        </w:rPr>
      </w:pPr>
      <w:r w:rsidRPr="000B7B18">
        <w:rPr>
          <w:rStyle w:val="eop"/>
          <w:rFonts w:ascii="Calibri" w:hAnsi="Calibri" w:cs="Calibri"/>
          <w:sz w:val="22"/>
          <w:szCs w:val="22"/>
        </w:rPr>
        <w:t>Fax: 573-884-2166</w:t>
      </w:r>
    </w:p>
    <w:p w14:paraId="17266F36" w14:textId="2B5D243C" w:rsidR="000B7B18" w:rsidRPr="000B7B18" w:rsidRDefault="000B7B18" w:rsidP="000B7B18">
      <w:pPr>
        <w:pStyle w:val="paragraph"/>
        <w:spacing w:before="0" w:beforeAutospacing="0" w:after="0" w:afterAutospacing="0"/>
        <w:textAlignment w:val="baseline"/>
        <w:rPr>
          <w:rStyle w:val="eop"/>
          <w:rFonts w:ascii="Calibri" w:hAnsi="Calibri" w:cs="Calibri"/>
          <w:sz w:val="22"/>
          <w:szCs w:val="22"/>
        </w:rPr>
      </w:pPr>
      <w:r w:rsidRPr="000B7B18">
        <w:rPr>
          <w:rStyle w:val="eop"/>
          <w:rFonts w:ascii="Calibri" w:hAnsi="Calibri" w:cs="Calibri"/>
          <w:sz w:val="22"/>
          <w:szCs w:val="22"/>
        </w:rPr>
        <w:t>ORCID ID: 0000-0002-7656-1504</w:t>
      </w:r>
    </w:p>
    <w:p w14:paraId="6667043E" w14:textId="7DFC2661" w:rsidR="001801DE" w:rsidRDefault="001801DE" w:rsidP="00173EE1">
      <w:pPr>
        <w:pStyle w:val="paragraph"/>
        <w:spacing w:after="0"/>
        <w:textAlignment w:val="baseline"/>
        <w:rPr>
          <w:rStyle w:val="eop"/>
          <w:rFonts w:ascii="Calibri" w:hAnsi="Calibri" w:cs="Calibri"/>
          <w:b/>
          <w:bCs/>
          <w:sz w:val="22"/>
          <w:szCs w:val="22"/>
        </w:rPr>
      </w:pPr>
      <w:r>
        <w:rPr>
          <w:rStyle w:val="eop"/>
          <w:rFonts w:ascii="Calibri" w:hAnsi="Calibri" w:cs="Calibri"/>
          <w:b/>
          <w:bCs/>
          <w:sz w:val="22"/>
          <w:szCs w:val="22"/>
        </w:rPr>
        <w:t xml:space="preserve">Category: </w:t>
      </w:r>
      <w:r w:rsidRPr="001801DE">
        <w:rPr>
          <w:rStyle w:val="eop"/>
          <w:rFonts w:ascii="Calibri" w:hAnsi="Calibri" w:cs="Calibri"/>
          <w:sz w:val="22"/>
          <w:szCs w:val="22"/>
        </w:rPr>
        <w:t>PRN Opinion</w:t>
      </w:r>
      <w:r w:rsidR="00A07D77">
        <w:rPr>
          <w:rStyle w:val="eop"/>
          <w:rFonts w:ascii="Calibri" w:hAnsi="Calibri" w:cs="Calibri"/>
          <w:sz w:val="22"/>
          <w:szCs w:val="22"/>
        </w:rPr>
        <w:t xml:space="preserve"> Paper</w:t>
      </w:r>
    </w:p>
    <w:p w14:paraId="6B2A66CD" w14:textId="77BFCAF9" w:rsidR="00173EE1" w:rsidRPr="00173EE1" w:rsidRDefault="00173EE1" w:rsidP="00173EE1">
      <w:pPr>
        <w:pStyle w:val="paragraph"/>
        <w:spacing w:after="0"/>
        <w:textAlignment w:val="baseline"/>
        <w:rPr>
          <w:rStyle w:val="eop"/>
          <w:rFonts w:ascii="Calibri" w:hAnsi="Calibri" w:cs="Calibri"/>
          <w:b/>
          <w:bCs/>
          <w:sz w:val="22"/>
          <w:szCs w:val="22"/>
        </w:rPr>
      </w:pPr>
      <w:r w:rsidRPr="00173EE1">
        <w:rPr>
          <w:rStyle w:val="eop"/>
          <w:rFonts w:ascii="Calibri" w:hAnsi="Calibri" w:cs="Calibri"/>
          <w:b/>
          <w:bCs/>
          <w:sz w:val="22"/>
          <w:szCs w:val="22"/>
        </w:rPr>
        <w:t>Acknowledgements:</w:t>
      </w:r>
      <w:r>
        <w:rPr>
          <w:rStyle w:val="eop"/>
          <w:rFonts w:ascii="Calibri" w:hAnsi="Calibri" w:cs="Calibri"/>
          <w:b/>
          <w:bCs/>
          <w:sz w:val="22"/>
          <w:szCs w:val="22"/>
        </w:rPr>
        <w:t xml:space="preserve"> </w:t>
      </w:r>
      <w:r w:rsidR="00F55287" w:rsidRPr="00F55287">
        <w:rPr>
          <w:rStyle w:val="eop"/>
          <w:rFonts w:ascii="Calibri" w:hAnsi="Calibri" w:cs="Calibri"/>
          <w:sz w:val="22"/>
          <w:szCs w:val="22"/>
        </w:rPr>
        <w:t>N/A</w:t>
      </w:r>
    </w:p>
    <w:p w14:paraId="0307AB90" w14:textId="6F649EAF" w:rsidR="00173EE1" w:rsidRPr="00173EE1" w:rsidRDefault="00173EE1" w:rsidP="00173EE1">
      <w:pPr>
        <w:pStyle w:val="paragraph"/>
        <w:spacing w:after="0"/>
        <w:textAlignment w:val="baseline"/>
        <w:rPr>
          <w:rStyle w:val="eop"/>
          <w:rFonts w:ascii="Calibri" w:hAnsi="Calibri" w:cs="Calibri"/>
          <w:b/>
          <w:bCs/>
          <w:sz w:val="22"/>
          <w:szCs w:val="22"/>
        </w:rPr>
      </w:pPr>
      <w:r>
        <w:rPr>
          <w:rStyle w:val="eop"/>
          <w:rFonts w:ascii="Calibri" w:hAnsi="Calibri" w:cs="Calibri"/>
          <w:b/>
          <w:bCs/>
          <w:sz w:val="22"/>
          <w:szCs w:val="22"/>
        </w:rPr>
        <w:t>C</w:t>
      </w:r>
      <w:r w:rsidRPr="00173EE1">
        <w:rPr>
          <w:rStyle w:val="eop"/>
          <w:rFonts w:ascii="Calibri" w:hAnsi="Calibri" w:cs="Calibri"/>
          <w:b/>
          <w:bCs/>
          <w:sz w:val="22"/>
          <w:szCs w:val="22"/>
        </w:rPr>
        <w:t xml:space="preserve">onflict of Interest Statement: </w:t>
      </w:r>
      <w:r w:rsidRPr="00F80558">
        <w:rPr>
          <w:rStyle w:val="eop"/>
          <w:rFonts w:ascii="Calibri" w:hAnsi="Calibri" w:cs="Calibri"/>
          <w:sz w:val="22"/>
          <w:szCs w:val="22"/>
        </w:rPr>
        <w:t>TDS, JG</w:t>
      </w:r>
      <w:r w:rsidR="00F80558" w:rsidRPr="00F80558">
        <w:rPr>
          <w:rStyle w:val="eop"/>
          <w:rFonts w:ascii="Calibri" w:hAnsi="Calibri" w:cs="Calibri"/>
          <w:sz w:val="22"/>
          <w:szCs w:val="22"/>
        </w:rPr>
        <w:t xml:space="preserve">, ANI, KK, SAN, JAS, LH, MLH </w:t>
      </w:r>
      <w:r w:rsidRPr="00F80558">
        <w:rPr>
          <w:rStyle w:val="eop"/>
          <w:rFonts w:ascii="Calibri" w:hAnsi="Calibri" w:cs="Calibri"/>
          <w:sz w:val="22"/>
          <w:szCs w:val="22"/>
        </w:rPr>
        <w:t>have no conflicts of interest to declare.</w:t>
      </w:r>
      <w:r w:rsidRPr="00173EE1">
        <w:rPr>
          <w:rStyle w:val="eop"/>
          <w:rFonts w:ascii="Calibri" w:hAnsi="Calibri" w:cs="Calibri"/>
          <w:b/>
          <w:bCs/>
          <w:sz w:val="22"/>
          <w:szCs w:val="22"/>
        </w:rPr>
        <w:t xml:space="preserve"> </w:t>
      </w:r>
    </w:p>
    <w:p w14:paraId="0F654383" w14:textId="1E041A40" w:rsidR="00173EE1" w:rsidRDefault="00173EE1" w:rsidP="00173EE1">
      <w:pPr>
        <w:pStyle w:val="paragraph"/>
        <w:spacing w:before="0" w:beforeAutospacing="0" w:after="0" w:afterAutospacing="0"/>
        <w:textAlignment w:val="baseline"/>
        <w:rPr>
          <w:rStyle w:val="eop"/>
          <w:rFonts w:ascii="Calibri" w:hAnsi="Calibri" w:cs="Calibri"/>
          <w:sz w:val="22"/>
          <w:szCs w:val="22"/>
        </w:rPr>
      </w:pPr>
      <w:r w:rsidRPr="00173EE1">
        <w:rPr>
          <w:rStyle w:val="eop"/>
          <w:rFonts w:ascii="Calibri" w:hAnsi="Calibri" w:cs="Calibri"/>
          <w:b/>
          <w:bCs/>
          <w:sz w:val="22"/>
          <w:szCs w:val="22"/>
        </w:rPr>
        <w:t xml:space="preserve">Key Words: </w:t>
      </w:r>
      <w:r w:rsidR="00F80558">
        <w:rPr>
          <w:rStyle w:val="eop"/>
          <w:rFonts w:ascii="Calibri" w:hAnsi="Calibri" w:cs="Calibri"/>
          <w:sz w:val="22"/>
          <w:szCs w:val="22"/>
        </w:rPr>
        <w:t>research, quality improvement, pharmacy student, pharmacy resident, pharmacy learner</w:t>
      </w:r>
    </w:p>
    <w:p w14:paraId="3AC49B05" w14:textId="77777777" w:rsidR="00A07D77" w:rsidRDefault="00A07D77" w:rsidP="00173EE1">
      <w:pPr>
        <w:pStyle w:val="paragraph"/>
        <w:spacing w:before="0" w:beforeAutospacing="0" w:after="0" w:afterAutospacing="0"/>
        <w:textAlignment w:val="baseline"/>
        <w:rPr>
          <w:rStyle w:val="eop"/>
          <w:rFonts w:ascii="Calibri" w:hAnsi="Calibri" w:cs="Calibri"/>
          <w:sz w:val="22"/>
          <w:szCs w:val="22"/>
        </w:rPr>
      </w:pPr>
    </w:p>
    <w:p w14:paraId="64935B73" w14:textId="7538E804" w:rsidR="00A07D77" w:rsidRPr="00A07D77" w:rsidRDefault="00A07D77" w:rsidP="00173EE1">
      <w:pPr>
        <w:pStyle w:val="paragraph"/>
        <w:spacing w:before="0" w:beforeAutospacing="0" w:after="0" w:afterAutospacing="0"/>
        <w:textAlignment w:val="baseline"/>
        <w:rPr>
          <w:rStyle w:val="eop"/>
          <w:rFonts w:ascii="Calibri" w:hAnsi="Calibri" w:cs="Calibri"/>
          <w:sz w:val="22"/>
          <w:szCs w:val="22"/>
        </w:rPr>
      </w:pPr>
      <w:r w:rsidRPr="00A07D77">
        <w:rPr>
          <w:rStyle w:val="eop"/>
          <w:rFonts w:ascii="Calibri" w:hAnsi="Calibri" w:cs="Calibri"/>
          <w:sz w:val="22"/>
          <w:szCs w:val="22"/>
        </w:rPr>
        <w:t>This paper represents the opinion of the Adult Medicine and Education and Training Practice and Research Networks of the American College of Clinical Pharmacy. It does not necessarily represent an official ACCP commentary, guideline, or statement of policy or position.</w:t>
      </w:r>
    </w:p>
    <w:p w14:paraId="1FB98AC2" w14:textId="77777777" w:rsidR="000B7B18" w:rsidRDefault="000B7B18" w:rsidP="00565A2C">
      <w:pPr>
        <w:pStyle w:val="paragraph"/>
        <w:spacing w:before="0" w:beforeAutospacing="0" w:after="0" w:afterAutospacing="0"/>
        <w:textAlignment w:val="baseline"/>
        <w:rPr>
          <w:rStyle w:val="eop"/>
          <w:rFonts w:ascii="Calibri" w:hAnsi="Calibri" w:cs="Calibri"/>
          <w:b/>
          <w:bCs/>
          <w:sz w:val="22"/>
          <w:szCs w:val="22"/>
        </w:rPr>
      </w:pPr>
    </w:p>
    <w:p w14:paraId="6AD14F1C" w14:textId="77777777" w:rsidR="00F80558" w:rsidRDefault="00F80558" w:rsidP="00565A2C">
      <w:pPr>
        <w:pStyle w:val="paragraph"/>
        <w:spacing w:before="0" w:beforeAutospacing="0" w:after="0" w:afterAutospacing="0"/>
        <w:textAlignment w:val="baseline"/>
        <w:rPr>
          <w:rStyle w:val="eop"/>
          <w:rFonts w:ascii="Calibri" w:hAnsi="Calibri" w:cs="Calibri"/>
          <w:b/>
          <w:bCs/>
          <w:sz w:val="22"/>
          <w:szCs w:val="22"/>
        </w:rPr>
      </w:pPr>
    </w:p>
    <w:p w14:paraId="5707916D" w14:textId="77777777" w:rsidR="00F80558" w:rsidRDefault="00F80558" w:rsidP="00565A2C">
      <w:pPr>
        <w:pStyle w:val="paragraph"/>
        <w:spacing w:before="0" w:beforeAutospacing="0" w:after="0" w:afterAutospacing="0"/>
        <w:textAlignment w:val="baseline"/>
        <w:rPr>
          <w:rStyle w:val="eop"/>
          <w:rFonts w:ascii="Calibri" w:hAnsi="Calibri" w:cs="Calibri"/>
          <w:b/>
          <w:bCs/>
          <w:sz w:val="22"/>
          <w:szCs w:val="22"/>
        </w:rPr>
      </w:pPr>
    </w:p>
    <w:p w14:paraId="66E5A15F" w14:textId="77777777" w:rsidR="00F80558" w:rsidRDefault="00F80558" w:rsidP="00565A2C">
      <w:pPr>
        <w:pStyle w:val="paragraph"/>
        <w:spacing w:before="0" w:beforeAutospacing="0" w:after="0" w:afterAutospacing="0"/>
        <w:textAlignment w:val="baseline"/>
        <w:rPr>
          <w:rStyle w:val="eop"/>
          <w:rFonts w:ascii="Calibri" w:hAnsi="Calibri" w:cs="Calibri"/>
          <w:b/>
          <w:bCs/>
          <w:sz w:val="22"/>
          <w:szCs w:val="22"/>
        </w:rPr>
      </w:pPr>
    </w:p>
    <w:p w14:paraId="18F95966" w14:textId="77777777" w:rsidR="00A07D77" w:rsidRDefault="00A07D77" w:rsidP="00565A2C">
      <w:pPr>
        <w:pStyle w:val="paragraph"/>
        <w:spacing w:before="0" w:beforeAutospacing="0" w:after="0" w:afterAutospacing="0"/>
        <w:textAlignment w:val="baseline"/>
        <w:rPr>
          <w:rStyle w:val="eop"/>
          <w:rFonts w:ascii="Calibri" w:hAnsi="Calibri" w:cs="Calibri"/>
          <w:b/>
          <w:bCs/>
          <w:sz w:val="22"/>
          <w:szCs w:val="22"/>
        </w:rPr>
      </w:pPr>
    </w:p>
    <w:p w14:paraId="4C874247" w14:textId="77777777" w:rsidR="002F46FC" w:rsidRDefault="002F46FC">
      <w:pPr>
        <w:rPr>
          <w:rStyle w:val="eop"/>
          <w:rFonts w:ascii="Calibri" w:eastAsia="Times New Roman" w:hAnsi="Calibri" w:cs="Calibri"/>
          <w:b/>
          <w:bCs/>
        </w:rPr>
      </w:pPr>
      <w:r>
        <w:rPr>
          <w:rStyle w:val="eop"/>
          <w:rFonts w:ascii="Calibri" w:hAnsi="Calibri" w:cs="Calibri"/>
          <w:b/>
          <w:bCs/>
        </w:rPr>
        <w:br w:type="page"/>
      </w:r>
    </w:p>
    <w:p w14:paraId="6F71733C" w14:textId="251DB198" w:rsidR="00F80558" w:rsidRDefault="65D895CB" w:rsidP="7BBD1B22">
      <w:pPr>
        <w:pStyle w:val="paragraph"/>
        <w:spacing w:before="0" w:beforeAutospacing="0" w:after="0" w:afterAutospacing="0" w:line="480" w:lineRule="auto"/>
        <w:textAlignment w:val="baseline"/>
        <w:rPr>
          <w:rStyle w:val="eop"/>
          <w:rFonts w:ascii="Calibri" w:hAnsi="Calibri" w:cs="Calibri"/>
          <w:b/>
          <w:bCs/>
          <w:sz w:val="22"/>
          <w:szCs w:val="22"/>
        </w:rPr>
      </w:pPr>
      <w:r w:rsidRPr="3904A4FB">
        <w:rPr>
          <w:rStyle w:val="eop"/>
          <w:rFonts w:ascii="Calibri" w:hAnsi="Calibri" w:cs="Calibri"/>
          <w:b/>
          <w:bCs/>
          <w:sz w:val="22"/>
          <w:szCs w:val="22"/>
        </w:rPr>
        <w:lastRenderedPageBreak/>
        <w:t>Abstract</w:t>
      </w:r>
      <w:r w:rsidR="7243C947" w:rsidRPr="3904A4FB">
        <w:rPr>
          <w:rStyle w:val="eop"/>
          <w:rFonts w:ascii="Calibri" w:hAnsi="Calibri" w:cs="Calibri"/>
          <w:b/>
          <w:bCs/>
          <w:sz w:val="22"/>
          <w:szCs w:val="22"/>
        </w:rPr>
        <w:t xml:space="preserve"> (300 Word Limit; currently: </w:t>
      </w:r>
      <w:r w:rsidR="19264E7F" w:rsidRPr="0038406A">
        <w:rPr>
          <w:rStyle w:val="eop"/>
          <w:rFonts w:ascii="Calibri" w:hAnsi="Calibri" w:cs="Calibri"/>
          <w:b/>
          <w:bCs/>
          <w:sz w:val="22"/>
          <w:szCs w:val="22"/>
        </w:rPr>
        <w:t>1</w:t>
      </w:r>
      <w:r w:rsidR="7CEA8699" w:rsidRPr="0038406A">
        <w:rPr>
          <w:rStyle w:val="eop"/>
          <w:rFonts w:ascii="Calibri" w:hAnsi="Calibri" w:cs="Calibri"/>
          <w:b/>
          <w:bCs/>
          <w:sz w:val="22"/>
          <w:szCs w:val="22"/>
        </w:rPr>
        <w:t>5</w:t>
      </w:r>
      <w:r w:rsidR="0038406A" w:rsidRPr="0038406A">
        <w:rPr>
          <w:rStyle w:val="eop"/>
          <w:rFonts w:ascii="Calibri" w:hAnsi="Calibri" w:cs="Calibri"/>
          <w:b/>
          <w:bCs/>
          <w:sz w:val="22"/>
          <w:szCs w:val="22"/>
        </w:rPr>
        <w:t>8</w:t>
      </w:r>
      <w:r w:rsidR="7243C947" w:rsidRPr="3904A4FB">
        <w:rPr>
          <w:rStyle w:val="eop"/>
          <w:rFonts w:ascii="Calibri" w:hAnsi="Calibri" w:cs="Calibri"/>
          <w:b/>
          <w:bCs/>
          <w:sz w:val="22"/>
          <w:szCs w:val="22"/>
        </w:rPr>
        <w:t xml:space="preserve"> words)</w:t>
      </w:r>
      <w:r w:rsidRPr="3904A4FB">
        <w:rPr>
          <w:rStyle w:val="eop"/>
          <w:rFonts w:ascii="Calibri" w:hAnsi="Calibri" w:cs="Calibri"/>
          <w:b/>
          <w:bCs/>
          <w:sz w:val="22"/>
          <w:szCs w:val="22"/>
        </w:rPr>
        <w:t xml:space="preserve"> </w:t>
      </w:r>
    </w:p>
    <w:p w14:paraId="37ECD834" w14:textId="365B8375" w:rsidR="00256759" w:rsidRPr="00256759" w:rsidRDefault="4094358D" w:rsidP="7BBD1B22">
      <w:pPr>
        <w:pStyle w:val="paragraph"/>
        <w:spacing w:before="0" w:beforeAutospacing="0" w:after="0" w:afterAutospacing="0" w:line="480" w:lineRule="auto"/>
        <w:textAlignment w:val="baseline"/>
        <w:rPr>
          <w:rStyle w:val="eop"/>
          <w:rFonts w:ascii="Calibri" w:hAnsi="Calibri" w:cs="Calibri"/>
          <w:sz w:val="22"/>
          <w:szCs w:val="22"/>
        </w:rPr>
      </w:pPr>
      <w:r w:rsidRPr="3904A4FB">
        <w:rPr>
          <w:rStyle w:val="eop"/>
          <w:rFonts w:ascii="Calibri" w:hAnsi="Calibri" w:cs="Calibri"/>
          <w:sz w:val="22"/>
          <w:szCs w:val="22"/>
        </w:rPr>
        <w:t xml:space="preserve">Research plays a </w:t>
      </w:r>
      <w:r w:rsidR="77FF182E" w:rsidRPr="3904A4FB">
        <w:rPr>
          <w:rStyle w:val="eop"/>
          <w:rFonts w:ascii="Calibri" w:hAnsi="Calibri" w:cs="Calibri"/>
          <w:sz w:val="22"/>
          <w:szCs w:val="22"/>
        </w:rPr>
        <w:t xml:space="preserve">vital </w:t>
      </w:r>
      <w:r w:rsidRPr="3904A4FB">
        <w:rPr>
          <w:rStyle w:val="eop"/>
          <w:rFonts w:ascii="Calibri" w:hAnsi="Calibri" w:cs="Calibri"/>
          <w:sz w:val="22"/>
          <w:szCs w:val="22"/>
        </w:rPr>
        <w:t xml:space="preserve">role in advancing the pharmacy profession and improving patient </w:t>
      </w:r>
      <w:r w:rsidR="77FF182E" w:rsidRPr="3904A4FB">
        <w:rPr>
          <w:rStyle w:val="eop"/>
          <w:rFonts w:ascii="Calibri" w:hAnsi="Calibri" w:cs="Calibri"/>
          <w:sz w:val="22"/>
          <w:szCs w:val="22"/>
        </w:rPr>
        <w:t xml:space="preserve">care. It is a fundamental skill for learners to develop during their training under guided mentorship. </w:t>
      </w:r>
      <w:r w:rsidR="2771A6D1" w:rsidRPr="3904A4FB">
        <w:rPr>
          <w:rStyle w:val="eop"/>
          <w:rFonts w:ascii="Calibri" w:hAnsi="Calibri" w:cs="Calibri"/>
          <w:sz w:val="22"/>
          <w:szCs w:val="22"/>
        </w:rPr>
        <w:t>I</w:t>
      </w:r>
      <w:r w:rsidR="77FF182E" w:rsidRPr="3904A4FB">
        <w:rPr>
          <w:rStyle w:val="eop"/>
          <w:rFonts w:ascii="Calibri" w:hAnsi="Calibri" w:cs="Calibri"/>
          <w:sz w:val="22"/>
          <w:szCs w:val="22"/>
        </w:rPr>
        <w:t xml:space="preserve">ncorporating learners into research and quality improvement (QI) projects </w:t>
      </w:r>
      <w:r w:rsidR="6175E706" w:rsidRPr="3904A4FB">
        <w:rPr>
          <w:rStyle w:val="eop"/>
          <w:rFonts w:ascii="Calibri" w:hAnsi="Calibri" w:cs="Calibri"/>
          <w:sz w:val="22"/>
          <w:szCs w:val="22"/>
        </w:rPr>
        <w:t xml:space="preserve">can yield countless benefits for </w:t>
      </w:r>
      <w:r w:rsidR="77FF182E" w:rsidRPr="3904A4FB">
        <w:rPr>
          <w:rStyle w:val="eop"/>
          <w:rFonts w:ascii="Calibri" w:hAnsi="Calibri" w:cs="Calibri"/>
          <w:sz w:val="22"/>
          <w:szCs w:val="22"/>
        </w:rPr>
        <w:t>the learner</w:t>
      </w:r>
      <w:r w:rsidR="0E561317" w:rsidRPr="3904A4FB">
        <w:rPr>
          <w:rStyle w:val="eop"/>
          <w:rFonts w:ascii="Calibri" w:hAnsi="Calibri" w:cs="Calibri"/>
          <w:sz w:val="22"/>
          <w:szCs w:val="22"/>
        </w:rPr>
        <w:t>,</w:t>
      </w:r>
      <w:r w:rsidR="77FF182E" w:rsidRPr="3904A4FB">
        <w:rPr>
          <w:rStyle w:val="eop"/>
          <w:rFonts w:ascii="Calibri" w:hAnsi="Calibri" w:cs="Calibri"/>
          <w:sz w:val="22"/>
          <w:szCs w:val="22"/>
        </w:rPr>
        <w:t xml:space="preserve"> mentor</w:t>
      </w:r>
      <w:r w:rsidR="4E6A96E7" w:rsidRPr="3904A4FB">
        <w:rPr>
          <w:rStyle w:val="eop"/>
          <w:rFonts w:ascii="Calibri" w:hAnsi="Calibri" w:cs="Calibri"/>
          <w:sz w:val="22"/>
          <w:szCs w:val="22"/>
        </w:rPr>
        <w:t>,</w:t>
      </w:r>
      <w:r w:rsidR="77FF182E" w:rsidRPr="3904A4FB">
        <w:rPr>
          <w:rStyle w:val="eop"/>
          <w:rFonts w:ascii="Calibri" w:hAnsi="Calibri" w:cs="Calibri"/>
          <w:sz w:val="22"/>
          <w:szCs w:val="22"/>
        </w:rPr>
        <w:t xml:space="preserve"> </w:t>
      </w:r>
      <w:r w:rsidR="4F320B7C" w:rsidRPr="3904A4FB">
        <w:rPr>
          <w:rStyle w:val="eop"/>
          <w:rFonts w:ascii="Calibri" w:hAnsi="Calibri" w:cs="Calibri"/>
          <w:sz w:val="22"/>
          <w:szCs w:val="22"/>
        </w:rPr>
        <w:t xml:space="preserve">and </w:t>
      </w:r>
      <w:r w:rsidR="77FF182E" w:rsidRPr="3904A4FB">
        <w:rPr>
          <w:rStyle w:val="eop"/>
          <w:rFonts w:ascii="Calibri" w:hAnsi="Calibri" w:cs="Calibri"/>
          <w:sz w:val="22"/>
          <w:szCs w:val="22"/>
        </w:rPr>
        <w:t>institution. Despite this,</w:t>
      </w:r>
      <w:r w:rsidR="54F4737D" w:rsidRPr="3904A4FB">
        <w:rPr>
          <w:rStyle w:val="eop"/>
          <w:rFonts w:ascii="Calibri" w:hAnsi="Calibri" w:cs="Calibri"/>
          <w:sz w:val="22"/>
          <w:szCs w:val="22"/>
        </w:rPr>
        <w:t xml:space="preserve"> there are</w:t>
      </w:r>
      <w:r w:rsidR="77FF182E" w:rsidRPr="3904A4FB">
        <w:rPr>
          <w:rStyle w:val="eop"/>
          <w:rFonts w:ascii="Calibri" w:hAnsi="Calibri" w:cs="Calibri"/>
          <w:sz w:val="22"/>
          <w:szCs w:val="22"/>
        </w:rPr>
        <w:t xml:space="preserve"> barriers</w:t>
      </w:r>
      <w:r w:rsidRPr="3904A4FB">
        <w:rPr>
          <w:rStyle w:val="eop"/>
          <w:rFonts w:ascii="Calibri" w:hAnsi="Calibri" w:cs="Calibri"/>
          <w:sz w:val="22"/>
          <w:szCs w:val="22"/>
        </w:rPr>
        <w:t xml:space="preserve"> to in</w:t>
      </w:r>
      <w:r w:rsidR="77FF182E" w:rsidRPr="3904A4FB">
        <w:rPr>
          <w:rStyle w:val="eop"/>
          <w:rFonts w:ascii="Calibri" w:hAnsi="Calibri" w:cs="Calibri"/>
          <w:sz w:val="22"/>
          <w:szCs w:val="22"/>
        </w:rPr>
        <w:t>tegrating</w:t>
      </w:r>
      <w:r w:rsidRPr="3904A4FB">
        <w:rPr>
          <w:rStyle w:val="eop"/>
          <w:rFonts w:ascii="Calibri" w:hAnsi="Calibri" w:cs="Calibri"/>
          <w:sz w:val="22"/>
          <w:szCs w:val="22"/>
        </w:rPr>
        <w:t xml:space="preserve"> learners into research </w:t>
      </w:r>
      <w:r w:rsidR="6868DE70" w:rsidRPr="3904A4FB">
        <w:rPr>
          <w:rStyle w:val="eop"/>
          <w:rFonts w:ascii="Calibri" w:hAnsi="Calibri" w:cs="Calibri"/>
          <w:sz w:val="22"/>
          <w:szCs w:val="22"/>
        </w:rPr>
        <w:t>and</w:t>
      </w:r>
      <w:r w:rsidRPr="3904A4FB">
        <w:rPr>
          <w:rStyle w:val="eop"/>
          <w:rFonts w:ascii="Calibri" w:hAnsi="Calibri" w:cs="Calibri"/>
          <w:sz w:val="22"/>
          <w:szCs w:val="22"/>
        </w:rPr>
        <w:t xml:space="preserve"> </w:t>
      </w:r>
      <w:r w:rsidR="77FF182E" w:rsidRPr="3904A4FB">
        <w:rPr>
          <w:rStyle w:val="eop"/>
          <w:rFonts w:ascii="Calibri" w:hAnsi="Calibri" w:cs="Calibri"/>
          <w:sz w:val="22"/>
          <w:szCs w:val="22"/>
        </w:rPr>
        <w:t>QI</w:t>
      </w:r>
      <w:r w:rsidRPr="3904A4FB">
        <w:rPr>
          <w:rStyle w:val="eop"/>
          <w:rFonts w:ascii="Calibri" w:hAnsi="Calibri" w:cs="Calibri"/>
          <w:sz w:val="22"/>
          <w:szCs w:val="22"/>
        </w:rPr>
        <w:t xml:space="preserve"> projects</w:t>
      </w:r>
      <w:r w:rsidR="5373451F" w:rsidRPr="3904A4FB">
        <w:rPr>
          <w:rStyle w:val="eop"/>
          <w:rFonts w:ascii="Calibri" w:hAnsi="Calibri" w:cs="Calibri"/>
          <w:sz w:val="22"/>
          <w:szCs w:val="22"/>
        </w:rPr>
        <w:t xml:space="preserve"> </w:t>
      </w:r>
      <w:r w:rsidR="167EDBA4" w:rsidRPr="3904A4FB">
        <w:rPr>
          <w:rStyle w:val="eop"/>
          <w:rFonts w:ascii="Calibri" w:hAnsi="Calibri" w:cs="Calibri"/>
          <w:sz w:val="22"/>
          <w:szCs w:val="22"/>
        </w:rPr>
        <w:t xml:space="preserve">which </w:t>
      </w:r>
      <w:r w:rsidR="77FF182E" w:rsidRPr="3904A4FB">
        <w:rPr>
          <w:rStyle w:val="eop"/>
          <w:rFonts w:ascii="Calibri" w:hAnsi="Calibri" w:cs="Calibri"/>
          <w:sz w:val="22"/>
          <w:szCs w:val="22"/>
        </w:rPr>
        <w:t xml:space="preserve">may stem from </w:t>
      </w:r>
      <w:r w:rsidRPr="3904A4FB">
        <w:rPr>
          <w:rStyle w:val="eop"/>
          <w:rFonts w:ascii="Calibri" w:hAnsi="Calibri" w:cs="Calibri"/>
          <w:sz w:val="22"/>
          <w:szCs w:val="22"/>
        </w:rPr>
        <w:t>institutions</w:t>
      </w:r>
      <w:r w:rsidR="427D89CE" w:rsidRPr="3904A4FB">
        <w:rPr>
          <w:rStyle w:val="eop"/>
          <w:rFonts w:ascii="Calibri" w:hAnsi="Calibri" w:cs="Calibri"/>
          <w:sz w:val="22"/>
          <w:szCs w:val="22"/>
        </w:rPr>
        <w:t xml:space="preserve"> and individuals</w:t>
      </w:r>
      <w:r w:rsidRPr="3904A4FB">
        <w:rPr>
          <w:rStyle w:val="eop"/>
          <w:rFonts w:ascii="Calibri" w:hAnsi="Calibri" w:cs="Calibri"/>
          <w:sz w:val="22"/>
          <w:szCs w:val="22"/>
        </w:rPr>
        <w:t>.</w:t>
      </w:r>
      <w:r w:rsidR="34B3FD9D" w:rsidRPr="3904A4FB">
        <w:rPr>
          <w:rStyle w:val="eop"/>
          <w:rFonts w:ascii="Calibri" w:hAnsi="Calibri" w:cs="Calibri"/>
          <w:sz w:val="22"/>
          <w:szCs w:val="22"/>
        </w:rPr>
        <w:t xml:space="preserve"> T</w:t>
      </w:r>
      <w:r w:rsidR="0D71DB78" w:rsidRPr="3904A4FB">
        <w:rPr>
          <w:rStyle w:val="eop"/>
          <w:rFonts w:ascii="Calibri" w:hAnsi="Calibri" w:cs="Calibri"/>
          <w:sz w:val="22"/>
          <w:szCs w:val="22"/>
        </w:rPr>
        <w:t xml:space="preserve">o ensure success when engaging in the research process, </w:t>
      </w:r>
      <w:r w:rsidR="34B3FD9D" w:rsidRPr="3904A4FB">
        <w:rPr>
          <w:rStyle w:val="eop"/>
          <w:rFonts w:ascii="Calibri" w:hAnsi="Calibri" w:cs="Calibri"/>
          <w:sz w:val="22"/>
          <w:szCs w:val="22"/>
        </w:rPr>
        <w:t>strategies</w:t>
      </w:r>
      <w:r w:rsidR="3A0BAE08" w:rsidRPr="3904A4FB">
        <w:rPr>
          <w:rStyle w:val="eop"/>
          <w:rFonts w:ascii="Calibri" w:hAnsi="Calibri" w:cs="Calibri"/>
          <w:sz w:val="22"/>
          <w:szCs w:val="22"/>
        </w:rPr>
        <w:t xml:space="preserve"> centered around clear communication and </w:t>
      </w:r>
      <w:r w:rsidR="423B87CE" w:rsidRPr="3904A4FB">
        <w:rPr>
          <w:rStyle w:val="eop"/>
          <w:rFonts w:ascii="Calibri" w:hAnsi="Calibri" w:cs="Calibri"/>
          <w:sz w:val="22"/>
          <w:szCs w:val="22"/>
        </w:rPr>
        <w:t xml:space="preserve">illustrating the </w:t>
      </w:r>
      <w:r w:rsidR="3A0BAE08" w:rsidRPr="3904A4FB">
        <w:rPr>
          <w:rStyle w:val="eop"/>
          <w:rFonts w:ascii="Calibri" w:hAnsi="Calibri" w:cs="Calibri"/>
          <w:sz w:val="22"/>
          <w:szCs w:val="22"/>
        </w:rPr>
        <w:t>value</w:t>
      </w:r>
      <w:r w:rsidR="04C889E8" w:rsidRPr="3904A4FB">
        <w:rPr>
          <w:rStyle w:val="eop"/>
          <w:rFonts w:ascii="Calibri" w:hAnsi="Calibri" w:cs="Calibri"/>
          <w:sz w:val="22"/>
          <w:szCs w:val="22"/>
        </w:rPr>
        <w:t xml:space="preserve"> should be implemented</w:t>
      </w:r>
      <w:r w:rsidR="3A0BAE08" w:rsidRPr="3904A4FB">
        <w:rPr>
          <w:rStyle w:val="eop"/>
          <w:rFonts w:ascii="Calibri" w:hAnsi="Calibri" w:cs="Calibri"/>
          <w:sz w:val="22"/>
          <w:szCs w:val="22"/>
        </w:rPr>
        <w:t xml:space="preserve">. </w:t>
      </w:r>
      <w:r w:rsidR="2D6D37CE" w:rsidRPr="3904A4FB">
        <w:rPr>
          <w:rStyle w:val="eop"/>
          <w:rFonts w:ascii="Calibri" w:hAnsi="Calibri" w:cs="Calibri"/>
          <w:sz w:val="22"/>
          <w:szCs w:val="22"/>
        </w:rPr>
        <w:t>S</w:t>
      </w:r>
      <w:r w:rsidR="34B3FD9D" w:rsidRPr="3904A4FB">
        <w:rPr>
          <w:rStyle w:val="eop"/>
          <w:rFonts w:ascii="Calibri" w:hAnsi="Calibri" w:cs="Calibri"/>
          <w:sz w:val="22"/>
          <w:szCs w:val="22"/>
        </w:rPr>
        <w:t>uccessful r</w:t>
      </w:r>
      <w:r w:rsidRPr="3904A4FB">
        <w:rPr>
          <w:rStyle w:val="eop"/>
          <w:rFonts w:ascii="Calibri" w:hAnsi="Calibri" w:cs="Calibri"/>
          <w:sz w:val="22"/>
          <w:szCs w:val="22"/>
        </w:rPr>
        <w:t xml:space="preserve">esearch programs require strategic planning, </w:t>
      </w:r>
      <w:r w:rsidR="49DFD653" w:rsidRPr="3904A4FB">
        <w:rPr>
          <w:rStyle w:val="eop"/>
          <w:rFonts w:ascii="Calibri" w:hAnsi="Calibri" w:cs="Calibri"/>
          <w:sz w:val="22"/>
          <w:szCs w:val="22"/>
        </w:rPr>
        <w:t xml:space="preserve">setting </w:t>
      </w:r>
      <w:r w:rsidRPr="3904A4FB">
        <w:rPr>
          <w:rStyle w:val="eop"/>
          <w:rFonts w:ascii="Calibri" w:hAnsi="Calibri" w:cs="Calibri"/>
          <w:sz w:val="22"/>
          <w:szCs w:val="22"/>
        </w:rPr>
        <w:t xml:space="preserve">clear expectations, </w:t>
      </w:r>
      <w:r w:rsidR="2F5CF994" w:rsidRPr="3904A4FB">
        <w:rPr>
          <w:rStyle w:val="eop"/>
          <w:rFonts w:ascii="Calibri" w:hAnsi="Calibri" w:cs="Calibri"/>
          <w:sz w:val="22"/>
          <w:szCs w:val="22"/>
        </w:rPr>
        <w:t xml:space="preserve">providing </w:t>
      </w:r>
      <w:r w:rsidRPr="3904A4FB">
        <w:rPr>
          <w:rStyle w:val="eop"/>
          <w:rFonts w:ascii="Calibri" w:hAnsi="Calibri" w:cs="Calibri"/>
          <w:sz w:val="22"/>
          <w:szCs w:val="22"/>
        </w:rPr>
        <w:t xml:space="preserve">mentorship, and </w:t>
      </w:r>
      <w:r w:rsidR="56D3406A" w:rsidRPr="3904A4FB">
        <w:rPr>
          <w:rStyle w:val="eop"/>
          <w:rFonts w:ascii="Calibri" w:hAnsi="Calibri" w:cs="Calibri"/>
          <w:sz w:val="22"/>
          <w:szCs w:val="22"/>
        </w:rPr>
        <w:t xml:space="preserve">remaining </w:t>
      </w:r>
      <w:r w:rsidRPr="3904A4FB">
        <w:rPr>
          <w:rStyle w:val="eop"/>
          <w:rFonts w:ascii="Calibri" w:hAnsi="Calibri" w:cs="Calibri"/>
          <w:sz w:val="22"/>
          <w:szCs w:val="22"/>
        </w:rPr>
        <w:t>adaptab</w:t>
      </w:r>
      <w:r w:rsidR="09BBC223" w:rsidRPr="3904A4FB">
        <w:rPr>
          <w:rStyle w:val="eop"/>
          <w:rFonts w:ascii="Calibri" w:hAnsi="Calibri" w:cs="Calibri"/>
          <w:sz w:val="22"/>
          <w:szCs w:val="22"/>
        </w:rPr>
        <w:t>le</w:t>
      </w:r>
      <w:r w:rsidRPr="3904A4FB">
        <w:rPr>
          <w:rStyle w:val="eop"/>
          <w:rFonts w:ascii="Calibri" w:hAnsi="Calibri" w:cs="Calibri"/>
          <w:sz w:val="22"/>
          <w:szCs w:val="22"/>
        </w:rPr>
        <w:t xml:space="preserve"> to overcome </w:t>
      </w:r>
      <w:r w:rsidR="34B3FD9D" w:rsidRPr="3904A4FB">
        <w:rPr>
          <w:rStyle w:val="eop"/>
          <w:rFonts w:ascii="Calibri" w:hAnsi="Calibri" w:cs="Calibri"/>
          <w:sz w:val="22"/>
          <w:szCs w:val="22"/>
        </w:rPr>
        <w:t xml:space="preserve">barriers </w:t>
      </w:r>
      <w:r w:rsidR="19264E7F" w:rsidRPr="3904A4FB">
        <w:rPr>
          <w:rStyle w:val="eop"/>
          <w:rFonts w:ascii="Calibri" w:hAnsi="Calibri" w:cs="Calibri"/>
          <w:sz w:val="22"/>
          <w:szCs w:val="22"/>
        </w:rPr>
        <w:t>encountered during the process</w:t>
      </w:r>
      <w:r w:rsidR="34B3FD9D" w:rsidRPr="3904A4FB">
        <w:rPr>
          <w:rStyle w:val="eop"/>
          <w:rFonts w:ascii="Calibri" w:hAnsi="Calibri" w:cs="Calibri"/>
          <w:sz w:val="22"/>
          <w:szCs w:val="22"/>
        </w:rPr>
        <w:t xml:space="preserve">. </w:t>
      </w:r>
      <w:r w:rsidR="2BC678E6" w:rsidRPr="3904A4FB">
        <w:rPr>
          <w:rStyle w:val="eop"/>
          <w:rFonts w:ascii="Calibri" w:hAnsi="Calibri" w:cs="Calibri"/>
          <w:sz w:val="22"/>
          <w:szCs w:val="22"/>
        </w:rPr>
        <w:t>The purpose of this paper is to provide both mentors and learners a blueprint for success in research endeavors, including</w:t>
      </w:r>
      <w:r w:rsidR="070C74F4" w:rsidRPr="3904A4FB">
        <w:rPr>
          <w:rStyle w:val="eop"/>
          <w:rFonts w:ascii="Calibri" w:hAnsi="Calibri" w:cs="Calibri"/>
          <w:sz w:val="22"/>
          <w:szCs w:val="22"/>
        </w:rPr>
        <w:t xml:space="preserve"> resources to </w:t>
      </w:r>
      <w:r w:rsidR="5C7D527B" w:rsidRPr="3904A4FB">
        <w:rPr>
          <w:rStyle w:val="eop"/>
          <w:rFonts w:ascii="Calibri" w:hAnsi="Calibri" w:cs="Calibri"/>
          <w:sz w:val="22"/>
          <w:szCs w:val="22"/>
        </w:rPr>
        <w:t>effectively</w:t>
      </w:r>
      <w:r w:rsidR="070C74F4" w:rsidRPr="3904A4FB">
        <w:rPr>
          <w:rStyle w:val="eop"/>
          <w:rFonts w:ascii="Calibri" w:hAnsi="Calibri" w:cs="Calibri"/>
          <w:sz w:val="22"/>
          <w:szCs w:val="22"/>
        </w:rPr>
        <w:t xml:space="preserve"> navigate planning and execution</w:t>
      </w:r>
      <w:r w:rsidR="31D52CBC" w:rsidRPr="3904A4FB">
        <w:rPr>
          <w:rStyle w:val="eop"/>
          <w:rFonts w:ascii="Calibri" w:hAnsi="Calibri" w:cs="Calibri"/>
          <w:sz w:val="22"/>
          <w:szCs w:val="22"/>
        </w:rPr>
        <w:t>, as</w:t>
      </w:r>
      <w:r w:rsidRPr="3904A4FB">
        <w:rPr>
          <w:rStyle w:val="eop"/>
          <w:rFonts w:ascii="Calibri" w:hAnsi="Calibri" w:cs="Calibri"/>
          <w:sz w:val="22"/>
          <w:szCs w:val="22"/>
        </w:rPr>
        <w:t xml:space="preserve"> incorporating learners into research offers mutual benefits and should be embraced as a valuable learning opportunity</w:t>
      </w:r>
      <w:r w:rsidR="77FF182E" w:rsidRPr="3904A4FB">
        <w:rPr>
          <w:rStyle w:val="eop"/>
          <w:rFonts w:ascii="Calibri" w:hAnsi="Calibri" w:cs="Calibri"/>
          <w:sz w:val="22"/>
          <w:szCs w:val="22"/>
        </w:rPr>
        <w:t xml:space="preserve"> for all parties involved</w:t>
      </w:r>
      <w:r w:rsidRPr="3904A4FB">
        <w:rPr>
          <w:rStyle w:val="eop"/>
          <w:rFonts w:ascii="Calibri" w:hAnsi="Calibri" w:cs="Calibri"/>
          <w:sz w:val="22"/>
          <w:szCs w:val="22"/>
        </w:rPr>
        <w:t>.</w:t>
      </w:r>
    </w:p>
    <w:p w14:paraId="53092CCA" w14:textId="77777777" w:rsidR="00F80558" w:rsidRDefault="00F80558" w:rsidP="00565A2C">
      <w:pPr>
        <w:pStyle w:val="paragraph"/>
        <w:spacing w:before="0" w:beforeAutospacing="0" w:after="0" w:afterAutospacing="0"/>
        <w:textAlignment w:val="baseline"/>
        <w:rPr>
          <w:rStyle w:val="eop"/>
          <w:rFonts w:ascii="Calibri" w:hAnsi="Calibri" w:cs="Calibri"/>
          <w:b/>
          <w:bCs/>
          <w:sz w:val="22"/>
          <w:szCs w:val="22"/>
        </w:rPr>
      </w:pPr>
    </w:p>
    <w:p w14:paraId="2E1FD353" w14:textId="77777777" w:rsidR="00F80558" w:rsidRDefault="00F80558" w:rsidP="00565A2C">
      <w:pPr>
        <w:pStyle w:val="paragraph"/>
        <w:spacing w:before="0" w:beforeAutospacing="0" w:after="0" w:afterAutospacing="0"/>
        <w:textAlignment w:val="baseline"/>
        <w:rPr>
          <w:rStyle w:val="eop"/>
          <w:rFonts w:ascii="Calibri" w:hAnsi="Calibri" w:cs="Calibri"/>
          <w:b/>
          <w:bCs/>
          <w:sz w:val="22"/>
          <w:szCs w:val="22"/>
        </w:rPr>
      </w:pPr>
    </w:p>
    <w:p w14:paraId="12070646" w14:textId="77777777" w:rsidR="00256759" w:rsidRDefault="00256759" w:rsidP="00565A2C">
      <w:pPr>
        <w:pStyle w:val="paragraph"/>
        <w:spacing w:before="0" w:beforeAutospacing="0" w:after="0" w:afterAutospacing="0"/>
        <w:textAlignment w:val="baseline"/>
        <w:rPr>
          <w:rStyle w:val="eop"/>
          <w:rFonts w:ascii="Calibri" w:hAnsi="Calibri" w:cs="Calibri"/>
          <w:b/>
          <w:bCs/>
          <w:sz w:val="22"/>
          <w:szCs w:val="22"/>
        </w:rPr>
      </w:pPr>
    </w:p>
    <w:p w14:paraId="1111F1CF" w14:textId="77777777" w:rsidR="00256759" w:rsidRDefault="00256759" w:rsidP="00565A2C">
      <w:pPr>
        <w:pStyle w:val="paragraph"/>
        <w:spacing w:before="0" w:beforeAutospacing="0" w:after="0" w:afterAutospacing="0"/>
        <w:textAlignment w:val="baseline"/>
        <w:rPr>
          <w:rStyle w:val="eop"/>
          <w:rFonts w:ascii="Calibri" w:hAnsi="Calibri" w:cs="Calibri"/>
          <w:b/>
          <w:bCs/>
          <w:sz w:val="22"/>
          <w:szCs w:val="22"/>
        </w:rPr>
      </w:pPr>
    </w:p>
    <w:p w14:paraId="7C9DF9A7" w14:textId="77777777" w:rsidR="00256759" w:rsidRDefault="00256759" w:rsidP="00565A2C">
      <w:pPr>
        <w:pStyle w:val="paragraph"/>
        <w:spacing w:before="0" w:beforeAutospacing="0" w:after="0" w:afterAutospacing="0"/>
        <w:textAlignment w:val="baseline"/>
        <w:rPr>
          <w:rStyle w:val="eop"/>
          <w:rFonts w:ascii="Calibri" w:hAnsi="Calibri" w:cs="Calibri"/>
          <w:b/>
          <w:bCs/>
          <w:sz w:val="22"/>
          <w:szCs w:val="22"/>
        </w:rPr>
      </w:pPr>
    </w:p>
    <w:p w14:paraId="68B66C65" w14:textId="77777777" w:rsidR="00180F3B" w:rsidRDefault="00180F3B" w:rsidP="00565A2C">
      <w:pPr>
        <w:pStyle w:val="paragraph"/>
        <w:spacing w:before="0" w:beforeAutospacing="0" w:after="0" w:afterAutospacing="0"/>
        <w:textAlignment w:val="baseline"/>
        <w:rPr>
          <w:rStyle w:val="eop"/>
          <w:rFonts w:ascii="Calibri" w:hAnsi="Calibri" w:cs="Calibri"/>
          <w:b/>
          <w:bCs/>
          <w:sz w:val="22"/>
          <w:szCs w:val="22"/>
        </w:rPr>
      </w:pPr>
    </w:p>
    <w:p w14:paraId="094B164F" w14:textId="77777777" w:rsidR="00180F3B" w:rsidRDefault="00180F3B" w:rsidP="00565A2C">
      <w:pPr>
        <w:pStyle w:val="paragraph"/>
        <w:spacing w:before="0" w:beforeAutospacing="0" w:after="0" w:afterAutospacing="0"/>
        <w:textAlignment w:val="baseline"/>
        <w:rPr>
          <w:rStyle w:val="eop"/>
          <w:rFonts w:ascii="Calibri" w:hAnsi="Calibri" w:cs="Calibri"/>
          <w:b/>
          <w:bCs/>
          <w:sz w:val="22"/>
          <w:szCs w:val="22"/>
        </w:rPr>
      </w:pPr>
    </w:p>
    <w:p w14:paraId="71325003" w14:textId="77777777" w:rsidR="00180F3B" w:rsidRDefault="00180F3B" w:rsidP="00565A2C">
      <w:pPr>
        <w:pStyle w:val="paragraph"/>
        <w:spacing w:before="0" w:beforeAutospacing="0" w:after="0" w:afterAutospacing="0"/>
        <w:textAlignment w:val="baseline"/>
        <w:rPr>
          <w:rStyle w:val="eop"/>
          <w:rFonts w:ascii="Calibri" w:hAnsi="Calibri" w:cs="Calibri"/>
          <w:b/>
          <w:bCs/>
          <w:sz w:val="22"/>
          <w:szCs w:val="22"/>
        </w:rPr>
      </w:pPr>
    </w:p>
    <w:p w14:paraId="1DCD1E8B" w14:textId="77777777" w:rsidR="00180F3B" w:rsidRDefault="00180F3B" w:rsidP="00565A2C">
      <w:pPr>
        <w:pStyle w:val="paragraph"/>
        <w:spacing w:before="0" w:beforeAutospacing="0" w:after="0" w:afterAutospacing="0"/>
        <w:textAlignment w:val="baseline"/>
        <w:rPr>
          <w:rStyle w:val="eop"/>
          <w:rFonts w:ascii="Calibri" w:hAnsi="Calibri" w:cs="Calibri"/>
          <w:b/>
          <w:bCs/>
          <w:sz w:val="22"/>
          <w:szCs w:val="22"/>
        </w:rPr>
      </w:pPr>
    </w:p>
    <w:p w14:paraId="24339D84" w14:textId="77777777" w:rsidR="00180F3B" w:rsidRDefault="00180F3B" w:rsidP="00565A2C">
      <w:pPr>
        <w:pStyle w:val="paragraph"/>
        <w:spacing w:before="0" w:beforeAutospacing="0" w:after="0" w:afterAutospacing="0"/>
        <w:textAlignment w:val="baseline"/>
        <w:rPr>
          <w:rStyle w:val="eop"/>
          <w:rFonts w:ascii="Calibri" w:hAnsi="Calibri" w:cs="Calibri"/>
          <w:b/>
          <w:bCs/>
          <w:sz w:val="22"/>
          <w:szCs w:val="22"/>
        </w:rPr>
      </w:pPr>
    </w:p>
    <w:p w14:paraId="07295D0C" w14:textId="77777777" w:rsidR="00180F3B" w:rsidRDefault="00180F3B" w:rsidP="00565A2C">
      <w:pPr>
        <w:pStyle w:val="paragraph"/>
        <w:spacing w:before="0" w:beforeAutospacing="0" w:after="0" w:afterAutospacing="0"/>
        <w:textAlignment w:val="baseline"/>
        <w:rPr>
          <w:rStyle w:val="eop"/>
          <w:rFonts w:ascii="Calibri" w:hAnsi="Calibri" w:cs="Calibri"/>
          <w:b/>
          <w:bCs/>
          <w:sz w:val="22"/>
          <w:szCs w:val="22"/>
        </w:rPr>
      </w:pPr>
    </w:p>
    <w:p w14:paraId="23F7D9B3" w14:textId="77777777" w:rsidR="00180F3B" w:rsidRDefault="00180F3B" w:rsidP="00565A2C">
      <w:pPr>
        <w:pStyle w:val="paragraph"/>
        <w:spacing w:before="0" w:beforeAutospacing="0" w:after="0" w:afterAutospacing="0"/>
        <w:textAlignment w:val="baseline"/>
        <w:rPr>
          <w:rStyle w:val="eop"/>
          <w:rFonts w:ascii="Calibri" w:hAnsi="Calibri" w:cs="Calibri"/>
          <w:b/>
          <w:bCs/>
          <w:sz w:val="22"/>
          <w:szCs w:val="22"/>
        </w:rPr>
      </w:pPr>
    </w:p>
    <w:p w14:paraId="37C31253" w14:textId="77777777" w:rsidR="00180F3B" w:rsidRDefault="00180F3B" w:rsidP="00565A2C">
      <w:pPr>
        <w:pStyle w:val="paragraph"/>
        <w:spacing w:before="0" w:beforeAutospacing="0" w:after="0" w:afterAutospacing="0"/>
        <w:textAlignment w:val="baseline"/>
        <w:rPr>
          <w:rStyle w:val="eop"/>
          <w:rFonts w:ascii="Calibri" w:hAnsi="Calibri" w:cs="Calibri"/>
          <w:b/>
          <w:bCs/>
          <w:sz w:val="22"/>
          <w:szCs w:val="22"/>
        </w:rPr>
      </w:pPr>
    </w:p>
    <w:p w14:paraId="6B1F31CF" w14:textId="77777777" w:rsidR="00180F3B" w:rsidRDefault="00180F3B" w:rsidP="00565A2C">
      <w:pPr>
        <w:pStyle w:val="paragraph"/>
        <w:spacing w:before="0" w:beforeAutospacing="0" w:after="0" w:afterAutospacing="0"/>
        <w:textAlignment w:val="baseline"/>
        <w:rPr>
          <w:rStyle w:val="eop"/>
          <w:rFonts w:ascii="Calibri" w:hAnsi="Calibri" w:cs="Calibri"/>
          <w:b/>
          <w:bCs/>
          <w:sz w:val="22"/>
          <w:szCs w:val="22"/>
        </w:rPr>
      </w:pPr>
    </w:p>
    <w:p w14:paraId="3420CF90" w14:textId="77777777" w:rsidR="00180F3B" w:rsidRDefault="00180F3B" w:rsidP="00565A2C">
      <w:pPr>
        <w:pStyle w:val="paragraph"/>
        <w:spacing w:before="0" w:beforeAutospacing="0" w:after="0" w:afterAutospacing="0"/>
        <w:textAlignment w:val="baseline"/>
        <w:rPr>
          <w:rStyle w:val="eop"/>
          <w:rFonts w:ascii="Calibri" w:hAnsi="Calibri" w:cs="Calibri"/>
          <w:b/>
          <w:bCs/>
          <w:sz w:val="22"/>
          <w:szCs w:val="22"/>
        </w:rPr>
      </w:pPr>
    </w:p>
    <w:p w14:paraId="2978929C" w14:textId="77777777" w:rsidR="00180F3B" w:rsidRDefault="00180F3B" w:rsidP="00565A2C">
      <w:pPr>
        <w:pStyle w:val="paragraph"/>
        <w:spacing w:before="0" w:beforeAutospacing="0" w:after="0" w:afterAutospacing="0"/>
        <w:textAlignment w:val="baseline"/>
        <w:rPr>
          <w:rStyle w:val="eop"/>
          <w:rFonts w:ascii="Calibri" w:hAnsi="Calibri" w:cs="Calibri"/>
          <w:b/>
          <w:bCs/>
          <w:sz w:val="22"/>
          <w:szCs w:val="22"/>
        </w:rPr>
      </w:pPr>
    </w:p>
    <w:p w14:paraId="45F8F69A" w14:textId="77777777" w:rsidR="00180F3B" w:rsidRDefault="00180F3B" w:rsidP="00565A2C">
      <w:pPr>
        <w:pStyle w:val="paragraph"/>
        <w:spacing w:before="0" w:beforeAutospacing="0" w:after="0" w:afterAutospacing="0"/>
        <w:textAlignment w:val="baseline"/>
        <w:rPr>
          <w:rStyle w:val="eop"/>
          <w:rFonts w:ascii="Calibri" w:hAnsi="Calibri" w:cs="Calibri"/>
          <w:b/>
          <w:bCs/>
          <w:sz w:val="22"/>
          <w:szCs w:val="22"/>
        </w:rPr>
      </w:pPr>
    </w:p>
    <w:p w14:paraId="16127D76" w14:textId="77777777" w:rsidR="00180F3B" w:rsidRDefault="00180F3B" w:rsidP="00565A2C">
      <w:pPr>
        <w:pStyle w:val="paragraph"/>
        <w:spacing w:before="0" w:beforeAutospacing="0" w:after="0" w:afterAutospacing="0"/>
        <w:textAlignment w:val="baseline"/>
        <w:rPr>
          <w:rStyle w:val="eop"/>
          <w:rFonts w:ascii="Calibri" w:hAnsi="Calibri" w:cs="Calibri"/>
          <w:b/>
          <w:bCs/>
          <w:sz w:val="22"/>
          <w:szCs w:val="22"/>
        </w:rPr>
      </w:pPr>
    </w:p>
    <w:p w14:paraId="3496CAFD" w14:textId="77777777" w:rsidR="00180F3B" w:rsidRDefault="00180F3B" w:rsidP="00565A2C">
      <w:pPr>
        <w:pStyle w:val="paragraph"/>
        <w:spacing w:before="0" w:beforeAutospacing="0" w:after="0" w:afterAutospacing="0"/>
        <w:textAlignment w:val="baseline"/>
        <w:rPr>
          <w:rStyle w:val="eop"/>
          <w:rFonts w:ascii="Calibri" w:hAnsi="Calibri" w:cs="Calibri"/>
          <w:b/>
          <w:bCs/>
          <w:sz w:val="22"/>
          <w:szCs w:val="22"/>
        </w:rPr>
      </w:pPr>
    </w:p>
    <w:p w14:paraId="32F9F9DA" w14:textId="77777777" w:rsidR="00180F3B" w:rsidRDefault="00180F3B" w:rsidP="00565A2C">
      <w:pPr>
        <w:pStyle w:val="paragraph"/>
        <w:spacing w:before="0" w:beforeAutospacing="0" w:after="0" w:afterAutospacing="0"/>
        <w:textAlignment w:val="baseline"/>
        <w:rPr>
          <w:rStyle w:val="eop"/>
          <w:rFonts w:ascii="Calibri" w:hAnsi="Calibri" w:cs="Calibri"/>
          <w:b/>
          <w:bCs/>
          <w:sz w:val="22"/>
          <w:szCs w:val="22"/>
        </w:rPr>
      </w:pPr>
    </w:p>
    <w:p w14:paraId="71DCCE5B" w14:textId="77777777" w:rsidR="00180F3B" w:rsidRDefault="00180F3B" w:rsidP="00565A2C">
      <w:pPr>
        <w:pStyle w:val="paragraph"/>
        <w:spacing w:before="0" w:beforeAutospacing="0" w:after="0" w:afterAutospacing="0"/>
        <w:textAlignment w:val="baseline"/>
        <w:rPr>
          <w:rStyle w:val="eop"/>
          <w:rFonts w:ascii="Calibri" w:hAnsi="Calibri" w:cs="Calibri"/>
          <w:b/>
          <w:bCs/>
          <w:sz w:val="22"/>
          <w:szCs w:val="22"/>
        </w:rPr>
      </w:pPr>
    </w:p>
    <w:p w14:paraId="0697E351" w14:textId="77777777" w:rsidR="00180F3B" w:rsidRDefault="00180F3B" w:rsidP="00565A2C">
      <w:pPr>
        <w:pStyle w:val="paragraph"/>
        <w:spacing w:before="0" w:beforeAutospacing="0" w:after="0" w:afterAutospacing="0"/>
        <w:textAlignment w:val="baseline"/>
        <w:rPr>
          <w:rStyle w:val="eop"/>
          <w:rFonts w:ascii="Calibri" w:hAnsi="Calibri" w:cs="Calibri"/>
          <w:b/>
          <w:bCs/>
          <w:sz w:val="22"/>
          <w:szCs w:val="22"/>
        </w:rPr>
      </w:pPr>
    </w:p>
    <w:p w14:paraId="65632DAD" w14:textId="07B59B2E" w:rsidR="00565A2C" w:rsidRDefault="00565A2C" w:rsidP="0EFD6715">
      <w:pPr>
        <w:pStyle w:val="paragraph"/>
        <w:spacing w:before="0" w:beforeAutospacing="0" w:after="0" w:afterAutospacing="0"/>
        <w:textAlignment w:val="baseline"/>
        <w:rPr>
          <w:rStyle w:val="eop"/>
          <w:rFonts w:ascii="Calibri" w:hAnsi="Calibri" w:cs="Calibri"/>
          <w:b/>
          <w:bCs/>
          <w:sz w:val="22"/>
          <w:szCs w:val="22"/>
        </w:rPr>
      </w:pPr>
      <w:r w:rsidRPr="0EFD6715">
        <w:rPr>
          <w:rStyle w:val="eop"/>
          <w:rFonts w:ascii="Calibri" w:hAnsi="Calibri" w:cs="Calibri"/>
          <w:b/>
          <w:bCs/>
          <w:sz w:val="22"/>
          <w:szCs w:val="22"/>
        </w:rPr>
        <w:lastRenderedPageBreak/>
        <w:t>1. Prevalence</w:t>
      </w:r>
      <w:r w:rsidR="003216B9" w:rsidRPr="0EFD6715">
        <w:rPr>
          <w:rStyle w:val="eop"/>
          <w:rFonts w:ascii="Calibri" w:hAnsi="Calibri" w:cs="Calibri"/>
          <w:b/>
          <w:bCs/>
          <w:sz w:val="22"/>
          <w:szCs w:val="22"/>
        </w:rPr>
        <w:t xml:space="preserve"> and </w:t>
      </w:r>
      <w:r w:rsidRPr="0EFD6715">
        <w:rPr>
          <w:rStyle w:val="eop"/>
          <w:rFonts w:ascii="Calibri" w:hAnsi="Calibri" w:cs="Calibri"/>
          <w:b/>
          <w:bCs/>
          <w:sz w:val="22"/>
          <w:szCs w:val="22"/>
        </w:rPr>
        <w:t>Scope of Learners in Research</w:t>
      </w:r>
      <w:r w:rsidR="00D721E1" w:rsidRPr="0EFD6715">
        <w:rPr>
          <w:rStyle w:val="eop"/>
          <w:rFonts w:ascii="Calibri" w:hAnsi="Calibri" w:cs="Calibri"/>
          <w:b/>
          <w:bCs/>
          <w:sz w:val="22"/>
          <w:szCs w:val="22"/>
        </w:rPr>
        <w:t xml:space="preserve"> (3,500 Word Limit; currently:</w:t>
      </w:r>
      <w:r w:rsidR="004A6914">
        <w:rPr>
          <w:rStyle w:val="eop"/>
          <w:rFonts w:ascii="Calibri" w:hAnsi="Calibri" w:cs="Calibri"/>
          <w:b/>
          <w:bCs/>
          <w:sz w:val="22"/>
          <w:szCs w:val="22"/>
        </w:rPr>
        <w:t xml:space="preserve"> 3,2</w:t>
      </w:r>
      <w:r w:rsidR="003D1B25">
        <w:rPr>
          <w:rStyle w:val="eop"/>
          <w:rFonts w:ascii="Calibri" w:hAnsi="Calibri" w:cs="Calibri"/>
          <w:b/>
          <w:bCs/>
          <w:sz w:val="22"/>
          <w:szCs w:val="22"/>
        </w:rPr>
        <w:t>56</w:t>
      </w:r>
      <w:r w:rsidR="00D721E1" w:rsidRPr="0EFD6715">
        <w:rPr>
          <w:rStyle w:val="eop"/>
          <w:rFonts w:ascii="Calibri" w:hAnsi="Calibri" w:cs="Calibri"/>
          <w:b/>
          <w:bCs/>
          <w:sz w:val="22"/>
          <w:szCs w:val="22"/>
        </w:rPr>
        <w:t xml:space="preserve"> words)</w:t>
      </w:r>
    </w:p>
    <w:p w14:paraId="201D1016" w14:textId="77777777" w:rsidR="00565A2C" w:rsidRDefault="00565A2C" w:rsidP="00565A2C">
      <w:pPr>
        <w:pStyle w:val="paragraph"/>
        <w:spacing w:before="0" w:beforeAutospacing="0" w:after="0" w:afterAutospacing="0"/>
        <w:textAlignment w:val="baseline"/>
        <w:rPr>
          <w:rStyle w:val="eop"/>
          <w:rFonts w:ascii="Calibri" w:hAnsi="Calibri" w:cs="Calibri"/>
          <w:b/>
          <w:bCs/>
          <w:sz w:val="22"/>
          <w:szCs w:val="22"/>
        </w:rPr>
      </w:pPr>
    </w:p>
    <w:p w14:paraId="47EB284F" w14:textId="4859C70B" w:rsidR="001B3EBC" w:rsidRDefault="7E7C0ED6" w:rsidP="00252885">
      <w:pPr>
        <w:spacing w:after="0" w:line="480" w:lineRule="auto"/>
        <w:ind w:firstLine="720"/>
        <w:rPr>
          <w:rFonts w:ascii="Calibri" w:eastAsia="Calibri" w:hAnsi="Calibri" w:cs="Calibri"/>
        </w:rPr>
      </w:pPr>
      <w:r w:rsidRPr="3904A4FB">
        <w:rPr>
          <w:rFonts w:ascii="Calibri" w:eastAsia="Calibri" w:hAnsi="Calibri" w:cs="Calibri"/>
        </w:rPr>
        <w:t xml:space="preserve">Research is vital to the evolution of the </w:t>
      </w:r>
      <w:r w:rsidR="0C7A9F1D" w:rsidRPr="3904A4FB">
        <w:rPr>
          <w:rFonts w:ascii="Calibri" w:eastAsia="Calibri" w:hAnsi="Calibri" w:cs="Calibri"/>
        </w:rPr>
        <w:t xml:space="preserve">pharmacy </w:t>
      </w:r>
      <w:r w:rsidRPr="3904A4FB">
        <w:rPr>
          <w:rFonts w:ascii="Calibri" w:eastAsia="Calibri" w:hAnsi="Calibri" w:cs="Calibri"/>
        </w:rPr>
        <w:t xml:space="preserve">profession, including but not limited to advancement of evidence-based medicine, pharmacy services, and the education and training of pharmacy students and </w:t>
      </w:r>
      <w:r w:rsidR="00287572">
        <w:rPr>
          <w:rFonts w:ascii="Calibri" w:eastAsia="Calibri" w:hAnsi="Calibri" w:cs="Calibri"/>
        </w:rPr>
        <w:t>postgraduate</w:t>
      </w:r>
      <w:r w:rsidR="37F4AE75" w:rsidRPr="3904A4FB">
        <w:rPr>
          <w:rFonts w:ascii="Calibri" w:eastAsia="Calibri" w:hAnsi="Calibri" w:cs="Calibri"/>
        </w:rPr>
        <w:t xml:space="preserve"> trainees</w:t>
      </w:r>
      <w:r w:rsidRPr="3904A4FB">
        <w:rPr>
          <w:rFonts w:ascii="Calibri" w:eastAsia="Calibri" w:hAnsi="Calibri" w:cs="Calibri"/>
        </w:rPr>
        <w:t>.</w:t>
      </w:r>
      <w:r w:rsidR="00562FBA" w:rsidRPr="00562FBA">
        <w:rPr>
          <w:rFonts w:ascii="Calibri" w:eastAsia="Calibri" w:hAnsi="Calibri" w:cs="Calibri"/>
          <w:vertAlign w:val="superscript"/>
        </w:rPr>
        <w:t>1-6</w:t>
      </w:r>
      <w:r w:rsidRPr="3904A4FB">
        <w:rPr>
          <w:rFonts w:ascii="Calibri" w:eastAsia="Calibri" w:hAnsi="Calibri" w:cs="Calibri"/>
        </w:rPr>
        <w:t xml:space="preserve"> In training future pharmacy researchers, </w:t>
      </w:r>
      <w:r w:rsidR="6B0AE607" w:rsidRPr="3904A4FB">
        <w:rPr>
          <w:rFonts w:ascii="Calibri" w:eastAsia="Calibri" w:hAnsi="Calibri" w:cs="Calibri"/>
        </w:rPr>
        <w:t>pharmacists</w:t>
      </w:r>
      <w:r w:rsidRPr="3904A4FB">
        <w:rPr>
          <w:rFonts w:ascii="Calibri" w:eastAsia="Calibri" w:hAnsi="Calibri" w:cs="Calibri"/>
        </w:rPr>
        <w:t xml:space="preserve"> must be intentional with incorporating </w:t>
      </w:r>
      <w:r w:rsidR="1A09C23F" w:rsidRPr="3904A4FB">
        <w:rPr>
          <w:rFonts w:ascii="Calibri" w:eastAsia="Calibri" w:hAnsi="Calibri" w:cs="Calibri"/>
        </w:rPr>
        <w:t>learner</w:t>
      </w:r>
      <w:r w:rsidRPr="3904A4FB">
        <w:rPr>
          <w:rFonts w:ascii="Calibri" w:eastAsia="Calibri" w:hAnsi="Calibri" w:cs="Calibri"/>
        </w:rPr>
        <w:t xml:space="preserve">s into the research and scholarship process. The infusion of </w:t>
      </w:r>
      <w:r w:rsidR="310F9D87" w:rsidRPr="3904A4FB">
        <w:rPr>
          <w:rFonts w:ascii="Calibri" w:eastAsia="Calibri" w:hAnsi="Calibri" w:cs="Calibri"/>
        </w:rPr>
        <w:t>learner</w:t>
      </w:r>
      <w:r w:rsidRPr="3904A4FB">
        <w:rPr>
          <w:rFonts w:ascii="Calibri" w:eastAsia="Calibri" w:hAnsi="Calibri" w:cs="Calibri"/>
        </w:rPr>
        <w:t xml:space="preserve">s into the research process can positively impact not only </w:t>
      </w:r>
      <w:r w:rsidR="7AF5A05C" w:rsidRPr="3904A4FB">
        <w:rPr>
          <w:rFonts w:ascii="Calibri" w:eastAsia="Calibri" w:hAnsi="Calibri" w:cs="Calibri"/>
        </w:rPr>
        <w:t>the learners</w:t>
      </w:r>
      <w:r w:rsidRPr="3904A4FB">
        <w:rPr>
          <w:rFonts w:ascii="Calibri" w:eastAsia="Calibri" w:hAnsi="Calibri" w:cs="Calibri"/>
        </w:rPr>
        <w:t xml:space="preserve">, but also </w:t>
      </w:r>
      <w:r w:rsidR="115F701D" w:rsidRPr="3904A4FB">
        <w:rPr>
          <w:rFonts w:ascii="Calibri" w:eastAsia="Calibri" w:hAnsi="Calibri" w:cs="Calibri"/>
        </w:rPr>
        <w:t xml:space="preserve">their mentors, </w:t>
      </w:r>
      <w:r w:rsidRPr="3904A4FB">
        <w:rPr>
          <w:rFonts w:ascii="Calibri" w:eastAsia="Calibri" w:hAnsi="Calibri" w:cs="Calibri"/>
        </w:rPr>
        <w:t xml:space="preserve">patients, institutions, and </w:t>
      </w:r>
      <w:r w:rsidR="2A17E24E" w:rsidRPr="3904A4FB">
        <w:rPr>
          <w:rFonts w:ascii="Calibri" w:eastAsia="Calibri" w:hAnsi="Calibri" w:cs="Calibri"/>
        </w:rPr>
        <w:t>the pharmacy</w:t>
      </w:r>
      <w:r w:rsidR="6617E6AF" w:rsidRPr="3904A4FB">
        <w:rPr>
          <w:rFonts w:ascii="Calibri" w:eastAsia="Calibri" w:hAnsi="Calibri" w:cs="Calibri"/>
        </w:rPr>
        <w:t xml:space="preserve"> profession</w:t>
      </w:r>
      <w:r w:rsidR="008966E5">
        <w:rPr>
          <w:rFonts w:ascii="Calibri" w:eastAsia="Calibri" w:hAnsi="Calibri" w:cs="Calibri"/>
        </w:rPr>
        <w:t>.</w:t>
      </w:r>
      <w:r w:rsidR="008966E5" w:rsidRPr="008966E5">
        <w:rPr>
          <w:rFonts w:ascii="Calibri" w:eastAsia="Calibri" w:hAnsi="Calibri" w:cs="Calibri"/>
          <w:vertAlign w:val="superscript"/>
        </w:rPr>
        <w:t>7-9</w:t>
      </w:r>
      <w:r w:rsidRPr="3904A4FB">
        <w:rPr>
          <w:rFonts w:ascii="Calibri" w:eastAsia="Calibri" w:hAnsi="Calibri" w:cs="Calibri"/>
        </w:rPr>
        <w:t xml:space="preserve"> </w:t>
      </w:r>
      <w:r w:rsidR="6F78033F" w:rsidRPr="3904A4FB">
        <w:rPr>
          <w:rFonts w:ascii="Calibri" w:eastAsia="Calibri" w:hAnsi="Calibri" w:cs="Calibri"/>
        </w:rPr>
        <w:t xml:space="preserve">However, </w:t>
      </w:r>
      <w:r w:rsidR="7806B372" w:rsidRPr="3904A4FB">
        <w:rPr>
          <w:rFonts w:ascii="Calibri" w:eastAsia="Calibri" w:hAnsi="Calibri" w:cs="Calibri"/>
        </w:rPr>
        <w:t xml:space="preserve">we </w:t>
      </w:r>
      <w:r w:rsidR="0038406A">
        <w:rPr>
          <w:rFonts w:ascii="Calibri" w:eastAsia="Calibri" w:hAnsi="Calibri" w:cs="Calibri"/>
        </w:rPr>
        <w:t xml:space="preserve">often do not prepare our learners to be research-ready </w:t>
      </w:r>
      <w:r w:rsidR="47C398AA" w:rsidRPr="3904A4FB">
        <w:rPr>
          <w:rFonts w:ascii="Calibri" w:eastAsia="Calibri" w:hAnsi="Calibri" w:cs="Calibri"/>
        </w:rPr>
        <w:t xml:space="preserve">due to challenges incorporating </w:t>
      </w:r>
      <w:r w:rsidR="2BF41F0A" w:rsidRPr="3904A4FB">
        <w:rPr>
          <w:rFonts w:ascii="Calibri" w:eastAsia="Calibri" w:hAnsi="Calibri" w:cs="Calibri"/>
        </w:rPr>
        <w:t>learner</w:t>
      </w:r>
      <w:r w:rsidR="47C398AA" w:rsidRPr="3904A4FB">
        <w:rPr>
          <w:rFonts w:ascii="Calibri" w:eastAsia="Calibri" w:hAnsi="Calibri" w:cs="Calibri"/>
        </w:rPr>
        <w:t>s into the research process.</w:t>
      </w:r>
      <w:r w:rsidR="00750C56" w:rsidRPr="00750C56">
        <w:rPr>
          <w:rFonts w:ascii="Calibri" w:eastAsia="Calibri" w:hAnsi="Calibri" w:cs="Calibri"/>
          <w:vertAlign w:val="superscript"/>
        </w:rPr>
        <w:t>6-8,10-15</w:t>
      </w:r>
    </w:p>
    <w:p w14:paraId="43152C73" w14:textId="70ECABBE" w:rsidR="007A486D" w:rsidRDefault="3B6EAAB2" w:rsidP="00E42A46">
      <w:pPr>
        <w:spacing w:after="0" w:line="480" w:lineRule="auto"/>
        <w:ind w:firstLine="720"/>
        <w:rPr>
          <w:rFonts w:ascii="Calibri" w:eastAsia="Calibri" w:hAnsi="Calibri" w:cs="Calibri"/>
        </w:rPr>
      </w:pPr>
      <w:r w:rsidRPr="3904A4FB">
        <w:rPr>
          <w:rFonts w:ascii="Calibri" w:eastAsia="Calibri" w:hAnsi="Calibri" w:cs="Calibri"/>
        </w:rPr>
        <w:t xml:space="preserve">Barriers impacting integration of </w:t>
      </w:r>
      <w:r w:rsidR="7A9C4F09" w:rsidRPr="3904A4FB">
        <w:rPr>
          <w:rFonts w:ascii="Calibri" w:eastAsia="Calibri" w:hAnsi="Calibri" w:cs="Calibri"/>
        </w:rPr>
        <w:t>learner</w:t>
      </w:r>
      <w:r w:rsidRPr="3904A4FB">
        <w:rPr>
          <w:rFonts w:ascii="Calibri" w:eastAsia="Calibri" w:hAnsi="Calibri" w:cs="Calibri"/>
        </w:rPr>
        <w:t xml:space="preserve">s into research stem from the academy, mentors, and </w:t>
      </w:r>
      <w:r w:rsidR="57555C5A" w:rsidRPr="3904A4FB">
        <w:rPr>
          <w:rFonts w:ascii="Calibri" w:eastAsia="Calibri" w:hAnsi="Calibri" w:cs="Calibri"/>
        </w:rPr>
        <w:t>learners</w:t>
      </w:r>
      <w:r w:rsidR="71B7A6A2" w:rsidRPr="3904A4FB">
        <w:rPr>
          <w:rFonts w:ascii="Calibri" w:eastAsia="Calibri" w:hAnsi="Calibri" w:cs="Calibri"/>
        </w:rPr>
        <w:t xml:space="preserve"> themselves</w:t>
      </w:r>
      <w:r w:rsidRPr="3904A4FB">
        <w:rPr>
          <w:rFonts w:ascii="Calibri" w:eastAsia="Calibri" w:hAnsi="Calibri" w:cs="Calibri"/>
        </w:rPr>
        <w:t xml:space="preserve">. </w:t>
      </w:r>
      <w:r w:rsidR="529087F3" w:rsidRPr="3904A4FB">
        <w:rPr>
          <w:rFonts w:ascii="Calibri" w:eastAsia="Calibri" w:hAnsi="Calibri" w:cs="Calibri"/>
        </w:rPr>
        <w:t>Systemically</w:t>
      </w:r>
      <w:r w:rsidR="239D0DFD" w:rsidRPr="3904A4FB">
        <w:rPr>
          <w:rFonts w:ascii="Calibri" w:eastAsia="Calibri" w:hAnsi="Calibri" w:cs="Calibri"/>
        </w:rPr>
        <w:t xml:space="preserve">, </w:t>
      </w:r>
      <w:r w:rsidR="529087F3" w:rsidRPr="3904A4FB">
        <w:rPr>
          <w:rFonts w:ascii="Calibri" w:eastAsia="Calibri" w:hAnsi="Calibri" w:cs="Calibri"/>
        </w:rPr>
        <w:t>i</w:t>
      </w:r>
      <w:r w:rsidR="6D7B3F5F" w:rsidRPr="3904A4FB">
        <w:rPr>
          <w:rFonts w:ascii="Calibri" w:eastAsia="Calibri" w:hAnsi="Calibri" w:cs="Calibri"/>
        </w:rPr>
        <w:t xml:space="preserve">ntegrating </w:t>
      </w:r>
      <w:r w:rsidR="6BB916B0" w:rsidRPr="3904A4FB">
        <w:rPr>
          <w:rFonts w:ascii="Calibri" w:eastAsia="Calibri" w:hAnsi="Calibri" w:cs="Calibri"/>
        </w:rPr>
        <w:t>learner</w:t>
      </w:r>
      <w:r w:rsidR="6D7B3F5F" w:rsidRPr="3904A4FB">
        <w:rPr>
          <w:rFonts w:ascii="Calibri" w:eastAsia="Calibri" w:hAnsi="Calibri" w:cs="Calibri"/>
        </w:rPr>
        <w:t xml:space="preserve">s into research is a lower priority for many </w:t>
      </w:r>
      <w:r w:rsidRPr="3904A4FB">
        <w:rPr>
          <w:rFonts w:ascii="Calibri" w:eastAsia="Calibri" w:hAnsi="Calibri" w:cs="Calibri"/>
        </w:rPr>
        <w:t>schools</w:t>
      </w:r>
      <w:r w:rsidR="63BA7B8A" w:rsidRPr="3904A4FB">
        <w:rPr>
          <w:rFonts w:ascii="Calibri" w:eastAsia="Calibri" w:hAnsi="Calibri" w:cs="Calibri"/>
        </w:rPr>
        <w:t xml:space="preserve"> </w:t>
      </w:r>
      <w:r w:rsidR="1DC53176" w:rsidRPr="3904A4FB">
        <w:rPr>
          <w:rFonts w:ascii="Calibri" w:eastAsia="Calibri" w:hAnsi="Calibri" w:cs="Calibri"/>
        </w:rPr>
        <w:t xml:space="preserve">or </w:t>
      </w:r>
      <w:r w:rsidR="63BA7B8A" w:rsidRPr="3904A4FB">
        <w:rPr>
          <w:rFonts w:ascii="Calibri" w:eastAsia="Calibri" w:hAnsi="Calibri" w:cs="Calibri"/>
        </w:rPr>
        <w:t>colleges</w:t>
      </w:r>
      <w:r w:rsidRPr="3904A4FB">
        <w:rPr>
          <w:rFonts w:ascii="Calibri" w:eastAsia="Calibri" w:hAnsi="Calibri" w:cs="Calibri"/>
        </w:rPr>
        <w:t xml:space="preserve"> of pharmacy and </w:t>
      </w:r>
      <w:r w:rsidR="00287572">
        <w:rPr>
          <w:rFonts w:ascii="Calibri" w:eastAsia="Calibri" w:hAnsi="Calibri" w:cs="Calibri"/>
        </w:rPr>
        <w:t>postgraduate</w:t>
      </w:r>
      <w:r w:rsidR="11373BF9" w:rsidRPr="3904A4FB">
        <w:rPr>
          <w:rFonts w:ascii="Calibri" w:eastAsia="Calibri" w:hAnsi="Calibri" w:cs="Calibri"/>
        </w:rPr>
        <w:t xml:space="preserve"> </w:t>
      </w:r>
      <w:r w:rsidRPr="3904A4FB">
        <w:rPr>
          <w:rFonts w:ascii="Calibri" w:eastAsia="Calibri" w:hAnsi="Calibri" w:cs="Calibri"/>
        </w:rPr>
        <w:t>programs, as the primary emphasis is training practitioners to deliver patient care.</w:t>
      </w:r>
      <w:r w:rsidR="00750C56" w:rsidRPr="00750C56">
        <w:rPr>
          <w:rFonts w:ascii="Calibri" w:eastAsia="Calibri" w:hAnsi="Calibri" w:cs="Calibri"/>
          <w:vertAlign w:val="superscript"/>
        </w:rPr>
        <w:t>1,2,6,12,13</w:t>
      </w:r>
      <w:r w:rsidRPr="3904A4FB">
        <w:rPr>
          <w:rFonts w:ascii="Calibri" w:eastAsia="Calibri" w:hAnsi="Calibri" w:cs="Calibri"/>
        </w:rPr>
        <w:t xml:space="preserve"> </w:t>
      </w:r>
      <w:r w:rsidR="212BD7C4" w:rsidRPr="3904A4FB">
        <w:rPr>
          <w:rFonts w:ascii="Calibri" w:eastAsia="Calibri" w:hAnsi="Calibri" w:cs="Calibri"/>
        </w:rPr>
        <w:t>W</w:t>
      </w:r>
      <w:r w:rsidRPr="3904A4FB">
        <w:rPr>
          <w:rFonts w:ascii="Calibri" w:eastAsia="Calibri" w:hAnsi="Calibri" w:cs="Calibri"/>
        </w:rPr>
        <w:t xml:space="preserve">ith evaluation of curricular hoarding, priorities are being evaluated </w:t>
      </w:r>
      <w:r w:rsidR="1BF457A3" w:rsidRPr="3904A4FB">
        <w:rPr>
          <w:rFonts w:ascii="Calibri" w:eastAsia="Calibri" w:hAnsi="Calibri" w:cs="Calibri"/>
        </w:rPr>
        <w:t>and</w:t>
      </w:r>
      <w:r w:rsidRPr="3904A4FB">
        <w:rPr>
          <w:rFonts w:ascii="Calibri" w:eastAsia="Calibri" w:hAnsi="Calibri" w:cs="Calibri"/>
        </w:rPr>
        <w:t xml:space="preserve"> some institutions </w:t>
      </w:r>
      <w:r w:rsidR="7BAB2DEA" w:rsidRPr="3904A4FB">
        <w:rPr>
          <w:rFonts w:ascii="Calibri" w:eastAsia="Calibri" w:hAnsi="Calibri" w:cs="Calibri"/>
        </w:rPr>
        <w:t xml:space="preserve">are </w:t>
      </w:r>
      <w:r w:rsidRPr="3904A4FB">
        <w:rPr>
          <w:rFonts w:ascii="Calibri" w:eastAsia="Calibri" w:hAnsi="Calibri" w:cs="Calibri"/>
        </w:rPr>
        <w:t xml:space="preserve">putting less of an emphasis </w:t>
      </w:r>
      <w:r w:rsidR="5A697212" w:rsidRPr="3904A4FB">
        <w:rPr>
          <w:rFonts w:ascii="Calibri" w:eastAsia="Calibri" w:hAnsi="Calibri" w:cs="Calibri"/>
        </w:rPr>
        <w:t xml:space="preserve">on </w:t>
      </w:r>
      <w:r w:rsidRPr="3904A4FB">
        <w:rPr>
          <w:rFonts w:ascii="Calibri" w:eastAsia="Calibri" w:hAnsi="Calibri" w:cs="Calibri"/>
        </w:rPr>
        <w:t>learner engagement</w:t>
      </w:r>
      <w:r w:rsidR="31D8C09B" w:rsidRPr="3904A4FB">
        <w:rPr>
          <w:rFonts w:ascii="Calibri" w:eastAsia="Calibri" w:hAnsi="Calibri" w:cs="Calibri"/>
        </w:rPr>
        <w:t xml:space="preserve"> in research</w:t>
      </w:r>
      <w:r w:rsidRPr="3904A4FB">
        <w:rPr>
          <w:rFonts w:ascii="Calibri" w:eastAsia="Calibri" w:hAnsi="Calibri" w:cs="Calibri"/>
        </w:rPr>
        <w:t xml:space="preserve">. </w:t>
      </w:r>
    </w:p>
    <w:p w14:paraId="2EF377B3" w14:textId="22A82D07" w:rsidR="00E42A46" w:rsidRDefault="3B6EAAB2" w:rsidP="00E42A46">
      <w:pPr>
        <w:spacing w:after="0" w:line="480" w:lineRule="auto"/>
        <w:ind w:firstLine="720"/>
        <w:rPr>
          <w:rFonts w:ascii="Calibri" w:eastAsia="Calibri" w:hAnsi="Calibri" w:cs="Calibri"/>
        </w:rPr>
      </w:pPr>
      <w:r w:rsidRPr="3904A4FB">
        <w:rPr>
          <w:rFonts w:ascii="Calibri" w:eastAsia="Calibri" w:hAnsi="Calibri" w:cs="Calibri"/>
        </w:rPr>
        <w:t>As</w:t>
      </w:r>
      <w:r w:rsidR="1C956A2B" w:rsidRPr="3904A4FB">
        <w:rPr>
          <w:rFonts w:ascii="Calibri" w:eastAsia="Calibri" w:hAnsi="Calibri" w:cs="Calibri"/>
        </w:rPr>
        <w:t xml:space="preserve"> pharmacists and mentor</w:t>
      </w:r>
      <w:r w:rsidRPr="3904A4FB">
        <w:rPr>
          <w:rFonts w:ascii="Calibri" w:eastAsia="Calibri" w:hAnsi="Calibri" w:cs="Calibri"/>
        </w:rPr>
        <w:t xml:space="preserve">s see the prioritization of </w:t>
      </w:r>
      <w:r w:rsidR="50B5FCA5" w:rsidRPr="3904A4FB">
        <w:rPr>
          <w:rFonts w:ascii="Calibri" w:eastAsia="Calibri" w:hAnsi="Calibri" w:cs="Calibri"/>
        </w:rPr>
        <w:t>patient care</w:t>
      </w:r>
      <w:r w:rsidRPr="3904A4FB">
        <w:rPr>
          <w:rFonts w:ascii="Calibri" w:eastAsia="Calibri" w:hAnsi="Calibri" w:cs="Calibri"/>
        </w:rPr>
        <w:t xml:space="preserve">, this can impact motivation to </w:t>
      </w:r>
      <w:r w:rsidR="30742FFB" w:rsidRPr="3904A4FB">
        <w:rPr>
          <w:rFonts w:ascii="Calibri" w:eastAsia="Calibri" w:hAnsi="Calibri" w:cs="Calibri"/>
        </w:rPr>
        <w:t>provide research</w:t>
      </w:r>
      <w:r w:rsidR="4C7879F4" w:rsidRPr="3904A4FB">
        <w:rPr>
          <w:rFonts w:ascii="Calibri" w:eastAsia="Calibri" w:hAnsi="Calibri" w:cs="Calibri"/>
        </w:rPr>
        <w:t xml:space="preserve"> opportunities</w:t>
      </w:r>
      <w:r w:rsidRPr="3904A4FB">
        <w:rPr>
          <w:rFonts w:ascii="Calibri" w:eastAsia="Calibri" w:hAnsi="Calibri" w:cs="Calibri"/>
        </w:rPr>
        <w:t>.</w:t>
      </w:r>
      <w:r w:rsidR="00750C56" w:rsidRPr="00750C56">
        <w:rPr>
          <w:rFonts w:ascii="Calibri" w:eastAsia="Calibri" w:hAnsi="Calibri" w:cs="Calibri"/>
          <w:vertAlign w:val="superscript"/>
        </w:rPr>
        <w:t>6,11-14</w:t>
      </w:r>
      <w:r w:rsidR="00750C56">
        <w:rPr>
          <w:rFonts w:ascii="Calibri" w:eastAsia="Calibri" w:hAnsi="Calibri" w:cs="Calibri"/>
        </w:rPr>
        <w:t xml:space="preserve"> </w:t>
      </w:r>
      <w:r w:rsidRPr="3904A4FB">
        <w:rPr>
          <w:rFonts w:ascii="Calibri" w:eastAsia="Calibri" w:hAnsi="Calibri" w:cs="Calibri"/>
        </w:rPr>
        <w:t>Additionally, without research requirements in their roles, the lack of time</w:t>
      </w:r>
      <w:r w:rsidR="13D07932" w:rsidRPr="3904A4FB">
        <w:rPr>
          <w:rFonts w:ascii="Calibri" w:eastAsia="Calibri" w:hAnsi="Calibri" w:cs="Calibri"/>
        </w:rPr>
        <w:t>, resources,</w:t>
      </w:r>
      <w:r w:rsidRPr="3904A4FB">
        <w:rPr>
          <w:rFonts w:ascii="Calibri" w:eastAsia="Calibri" w:hAnsi="Calibri" w:cs="Calibri"/>
        </w:rPr>
        <w:t xml:space="preserve"> or incentives may inhibit research mentorship participation.</w:t>
      </w:r>
      <w:r w:rsidR="00750C56" w:rsidRPr="00750C56">
        <w:rPr>
          <w:rFonts w:ascii="Calibri" w:eastAsia="Calibri" w:hAnsi="Calibri" w:cs="Calibri"/>
          <w:vertAlign w:val="superscript"/>
        </w:rPr>
        <w:t>8,11-16</w:t>
      </w:r>
      <w:r w:rsidRPr="3904A4FB">
        <w:rPr>
          <w:rFonts w:ascii="Calibri" w:eastAsia="Calibri" w:hAnsi="Calibri" w:cs="Calibri"/>
        </w:rPr>
        <w:t xml:space="preserve"> Other potential mentors may not be confident in their own </w:t>
      </w:r>
      <w:r w:rsidR="5772A3C6" w:rsidRPr="3904A4FB">
        <w:rPr>
          <w:rFonts w:ascii="Calibri" w:eastAsia="Calibri" w:hAnsi="Calibri" w:cs="Calibri"/>
        </w:rPr>
        <w:t xml:space="preserve">mentorship, </w:t>
      </w:r>
      <w:r w:rsidRPr="3904A4FB">
        <w:rPr>
          <w:rFonts w:ascii="Calibri" w:eastAsia="Calibri" w:hAnsi="Calibri" w:cs="Calibri"/>
        </w:rPr>
        <w:t>research</w:t>
      </w:r>
      <w:r w:rsidR="1AAA3B5E" w:rsidRPr="3904A4FB">
        <w:rPr>
          <w:rFonts w:ascii="Calibri" w:eastAsia="Calibri" w:hAnsi="Calibri" w:cs="Calibri"/>
        </w:rPr>
        <w:t>,</w:t>
      </w:r>
      <w:r w:rsidRPr="3904A4FB">
        <w:rPr>
          <w:rFonts w:ascii="Calibri" w:eastAsia="Calibri" w:hAnsi="Calibri" w:cs="Calibri"/>
        </w:rPr>
        <w:t xml:space="preserve"> and publishing abilities, impact</w:t>
      </w:r>
      <w:r w:rsidR="5C623DF0" w:rsidRPr="3904A4FB">
        <w:rPr>
          <w:rFonts w:ascii="Calibri" w:eastAsia="Calibri" w:hAnsi="Calibri" w:cs="Calibri"/>
        </w:rPr>
        <w:t>ing</w:t>
      </w:r>
      <w:r w:rsidRPr="3904A4FB">
        <w:rPr>
          <w:rFonts w:ascii="Calibri" w:eastAsia="Calibri" w:hAnsi="Calibri" w:cs="Calibri"/>
        </w:rPr>
        <w:t xml:space="preserve"> </w:t>
      </w:r>
      <w:r w:rsidR="3F160DAB" w:rsidRPr="3904A4FB">
        <w:rPr>
          <w:rFonts w:ascii="Calibri" w:eastAsia="Calibri" w:hAnsi="Calibri" w:cs="Calibri"/>
        </w:rPr>
        <w:t>their</w:t>
      </w:r>
      <w:r w:rsidRPr="3904A4FB">
        <w:rPr>
          <w:rFonts w:ascii="Calibri" w:eastAsia="Calibri" w:hAnsi="Calibri" w:cs="Calibri"/>
        </w:rPr>
        <w:t xml:space="preserve"> participation or the success of </w:t>
      </w:r>
      <w:r w:rsidR="00E7607E">
        <w:rPr>
          <w:rFonts w:ascii="Calibri" w:eastAsia="Calibri" w:hAnsi="Calibri" w:cs="Calibri"/>
        </w:rPr>
        <w:t>a</w:t>
      </w:r>
      <w:r w:rsidR="30DC17B1" w:rsidRPr="3904A4FB">
        <w:rPr>
          <w:rFonts w:ascii="Calibri" w:eastAsia="Calibri" w:hAnsi="Calibri" w:cs="Calibri"/>
        </w:rPr>
        <w:t xml:space="preserve"> </w:t>
      </w:r>
      <w:r w:rsidRPr="3904A4FB">
        <w:rPr>
          <w:rFonts w:ascii="Calibri" w:eastAsia="Calibri" w:hAnsi="Calibri" w:cs="Calibri"/>
        </w:rPr>
        <w:t>project.</w:t>
      </w:r>
      <w:r w:rsidR="00A86B60" w:rsidRPr="00A86B60">
        <w:rPr>
          <w:rFonts w:ascii="Calibri" w:eastAsia="Calibri" w:hAnsi="Calibri" w:cs="Calibri"/>
          <w:vertAlign w:val="superscript"/>
        </w:rPr>
        <w:t>11,12,14</w:t>
      </w:r>
    </w:p>
    <w:p w14:paraId="35756A91" w14:textId="73A07349" w:rsidR="00ED06D2" w:rsidRDefault="3B6EAAB2" w:rsidP="7BBD1B22">
      <w:pPr>
        <w:spacing w:after="0" w:line="480" w:lineRule="auto"/>
        <w:ind w:firstLine="720"/>
        <w:rPr>
          <w:rFonts w:ascii="Calibri" w:eastAsia="Calibri" w:hAnsi="Calibri" w:cs="Calibri"/>
          <w:b/>
          <w:bCs/>
          <w:highlight w:val="yellow"/>
        </w:rPr>
      </w:pPr>
      <w:r w:rsidRPr="3904A4FB">
        <w:rPr>
          <w:rFonts w:ascii="Calibri" w:eastAsia="Calibri" w:hAnsi="Calibri" w:cs="Calibri"/>
        </w:rPr>
        <w:t xml:space="preserve">For </w:t>
      </w:r>
      <w:r w:rsidR="5AB0A799" w:rsidRPr="3904A4FB">
        <w:rPr>
          <w:rFonts w:ascii="Calibri" w:eastAsia="Calibri" w:hAnsi="Calibri" w:cs="Calibri"/>
        </w:rPr>
        <w:t>learner</w:t>
      </w:r>
      <w:r w:rsidRPr="3904A4FB">
        <w:rPr>
          <w:rFonts w:ascii="Calibri" w:eastAsia="Calibri" w:hAnsi="Calibri" w:cs="Calibri"/>
        </w:rPr>
        <w:t xml:space="preserve">s, the motivation to participate in research can be impacted by institutional support, but also </w:t>
      </w:r>
      <w:r w:rsidR="4755511E" w:rsidRPr="3904A4FB">
        <w:rPr>
          <w:rFonts w:ascii="Calibri" w:eastAsia="Calibri" w:hAnsi="Calibri" w:cs="Calibri"/>
        </w:rPr>
        <w:t xml:space="preserve">by </w:t>
      </w:r>
      <w:r w:rsidR="29B807CF" w:rsidRPr="3904A4FB">
        <w:rPr>
          <w:rFonts w:ascii="Calibri" w:eastAsia="Calibri" w:hAnsi="Calibri" w:cs="Calibri"/>
        </w:rPr>
        <w:t xml:space="preserve">real or perceived </w:t>
      </w:r>
      <w:r w:rsidRPr="3904A4FB">
        <w:rPr>
          <w:rFonts w:ascii="Calibri" w:eastAsia="Calibri" w:hAnsi="Calibri" w:cs="Calibri"/>
        </w:rPr>
        <w:t xml:space="preserve">barriers before or during the research process. Many learners </w:t>
      </w:r>
      <w:r w:rsidR="30742FFB" w:rsidRPr="3904A4FB">
        <w:rPr>
          <w:rFonts w:ascii="Calibri" w:eastAsia="Calibri" w:hAnsi="Calibri" w:cs="Calibri"/>
        </w:rPr>
        <w:t>may</w:t>
      </w:r>
      <w:r w:rsidRPr="3904A4FB">
        <w:rPr>
          <w:rFonts w:ascii="Calibri" w:eastAsia="Calibri" w:hAnsi="Calibri" w:cs="Calibri"/>
        </w:rPr>
        <w:t xml:space="preserve"> not feel prepared in research design, </w:t>
      </w:r>
      <w:r w:rsidR="0897F5BA" w:rsidRPr="3904A4FB">
        <w:rPr>
          <w:rFonts w:ascii="Calibri" w:eastAsia="Calibri" w:hAnsi="Calibri" w:cs="Calibri"/>
        </w:rPr>
        <w:t xml:space="preserve">data analysis, </w:t>
      </w:r>
      <w:r w:rsidRPr="3904A4FB">
        <w:rPr>
          <w:rFonts w:ascii="Calibri" w:eastAsia="Calibri" w:hAnsi="Calibri" w:cs="Calibri"/>
        </w:rPr>
        <w:t xml:space="preserve">or </w:t>
      </w:r>
      <w:r w:rsidR="37564621" w:rsidRPr="3904A4FB">
        <w:rPr>
          <w:rFonts w:ascii="Calibri" w:eastAsia="Calibri" w:hAnsi="Calibri" w:cs="Calibri"/>
        </w:rPr>
        <w:t xml:space="preserve">medical </w:t>
      </w:r>
      <w:r w:rsidRPr="3904A4FB">
        <w:rPr>
          <w:rFonts w:ascii="Calibri" w:eastAsia="Calibri" w:hAnsi="Calibri" w:cs="Calibri"/>
        </w:rPr>
        <w:t>writing</w:t>
      </w:r>
      <w:r w:rsidR="30742FFB" w:rsidRPr="3904A4FB">
        <w:rPr>
          <w:rFonts w:ascii="Calibri" w:eastAsia="Calibri" w:hAnsi="Calibri" w:cs="Calibri"/>
        </w:rPr>
        <w:t>.</w:t>
      </w:r>
      <w:r w:rsidRPr="3904A4FB">
        <w:rPr>
          <w:rFonts w:ascii="Calibri" w:eastAsia="Calibri" w:hAnsi="Calibri" w:cs="Calibri"/>
        </w:rPr>
        <w:t xml:space="preserve"> </w:t>
      </w:r>
      <w:r w:rsidR="30742FFB" w:rsidRPr="3904A4FB">
        <w:rPr>
          <w:rFonts w:ascii="Calibri" w:eastAsia="Calibri" w:hAnsi="Calibri" w:cs="Calibri"/>
        </w:rPr>
        <w:t>W</w:t>
      </w:r>
      <w:r w:rsidRPr="3904A4FB">
        <w:rPr>
          <w:rFonts w:ascii="Calibri" w:eastAsia="Calibri" w:hAnsi="Calibri" w:cs="Calibri"/>
        </w:rPr>
        <w:t>hile these skills can be developed within their research experience, th</w:t>
      </w:r>
      <w:r w:rsidR="0F0FA7C0" w:rsidRPr="3904A4FB">
        <w:rPr>
          <w:rFonts w:ascii="Calibri" w:eastAsia="Calibri" w:hAnsi="Calibri" w:cs="Calibri"/>
        </w:rPr>
        <w:t>e challenge</w:t>
      </w:r>
      <w:r w:rsidRPr="3904A4FB">
        <w:rPr>
          <w:rFonts w:ascii="Calibri" w:eastAsia="Calibri" w:hAnsi="Calibri" w:cs="Calibri"/>
        </w:rPr>
        <w:t xml:space="preserve"> may impact motivation to seek or maintain </w:t>
      </w:r>
      <w:r w:rsidR="5DC7A318" w:rsidRPr="3904A4FB">
        <w:rPr>
          <w:rFonts w:ascii="Calibri" w:eastAsia="Calibri" w:hAnsi="Calibri" w:cs="Calibri"/>
        </w:rPr>
        <w:t xml:space="preserve">research </w:t>
      </w:r>
      <w:r w:rsidRPr="3904A4FB">
        <w:rPr>
          <w:rFonts w:ascii="Calibri" w:eastAsia="Calibri" w:hAnsi="Calibri" w:cs="Calibri"/>
        </w:rPr>
        <w:t>involvement.</w:t>
      </w:r>
      <w:r w:rsidR="00A86B60" w:rsidRPr="00A86B60">
        <w:rPr>
          <w:rFonts w:ascii="Calibri" w:eastAsia="Calibri" w:hAnsi="Calibri" w:cs="Calibri"/>
          <w:vertAlign w:val="superscript"/>
        </w:rPr>
        <w:t>6,11-15</w:t>
      </w:r>
      <w:r w:rsidR="00A86B60">
        <w:rPr>
          <w:rFonts w:ascii="Calibri" w:eastAsia="Calibri" w:hAnsi="Calibri" w:cs="Calibri"/>
        </w:rPr>
        <w:t xml:space="preserve"> </w:t>
      </w:r>
      <w:r w:rsidR="7057CE33" w:rsidRPr="3904A4FB">
        <w:rPr>
          <w:rFonts w:ascii="Calibri" w:eastAsia="Calibri" w:hAnsi="Calibri" w:cs="Calibri"/>
        </w:rPr>
        <w:t>Another</w:t>
      </w:r>
      <w:r w:rsidRPr="3904A4FB">
        <w:rPr>
          <w:rFonts w:ascii="Calibri" w:eastAsia="Calibri" w:hAnsi="Calibri" w:cs="Calibri"/>
        </w:rPr>
        <w:t xml:space="preserve"> barrier to the incorporation of </w:t>
      </w:r>
      <w:r w:rsidR="0C7025EA" w:rsidRPr="3904A4FB">
        <w:rPr>
          <w:rFonts w:ascii="Calibri" w:eastAsia="Calibri" w:hAnsi="Calibri" w:cs="Calibri"/>
        </w:rPr>
        <w:t>learner</w:t>
      </w:r>
      <w:r w:rsidRPr="3904A4FB">
        <w:rPr>
          <w:rFonts w:ascii="Calibri" w:eastAsia="Calibri" w:hAnsi="Calibri" w:cs="Calibri"/>
        </w:rPr>
        <w:t>s, specifically student pharmacists</w:t>
      </w:r>
      <w:r w:rsidR="0527F621" w:rsidRPr="3904A4FB">
        <w:rPr>
          <w:rFonts w:ascii="Calibri" w:eastAsia="Calibri" w:hAnsi="Calibri" w:cs="Calibri"/>
        </w:rPr>
        <w:t xml:space="preserve"> interested in </w:t>
      </w:r>
      <w:r w:rsidR="401D8619" w:rsidRPr="3904A4FB">
        <w:rPr>
          <w:rFonts w:ascii="Calibri" w:eastAsia="Calibri" w:hAnsi="Calibri" w:cs="Calibri"/>
        </w:rPr>
        <w:t>research</w:t>
      </w:r>
      <w:r w:rsidRPr="3904A4FB">
        <w:rPr>
          <w:rFonts w:ascii="Calibri" w:eastAsia="Calibri" w:hAnsi="Calibri" w:cs="Calibri"/>
        </w:rPr>
        <w:t xml:space="preserve">, can be familiarity with new practice sites, which would require additional training </w:t>
      </w:r>
      <w:r w:rsidRPr="3904A4FB">
        <w:rPr>
          <w:rFonts w:ascii="Calibri" w:eastAsia="Calibri" w:hAnsi="Calibri" w:cs="Calibri"/>
        </w:rPr>
        <w:lastRenderedPageBreak/>
        <w:t>on the electronic health record, policies, formulary, or practice approaches, prior to integration into a research project.</w:t>
      </w:r>
      <w:r w:rsidR="00A86B60" w:rsidRPr="00A86B60">
        <w:rPr>
          <w:rFonts w:ascii="Calibri" w:eastAsia="Calibri" w:hAnsi="Calibri" w:cs="Calibri"/>
          <w:vertAlign w:val="superscript"/>
        </w:rPr>
        <w:t>9</w:t>
      </w:r>
      <w:r w:rsidRPr="3904A4FB">
        <w:rPr>
          <w:rFonts w:ascii="Calibri" w:eastAsia="Calibri" w:hAnsi="Calibri" w:cs="Calibri"/>
        </w:rPr>
        <w:t xml:space="preserve"> While these are not inhibitors of engagement, these extra </w:t>
      </w:r>
      <w:r w:rsidR="30742FFB" w:rsidRPr="3904A4FB">
        <w:rPr>
          <w:rFonts w:ascii="Calibri" w:eastAsia="Calibri" w:hAnsi="Calibri" w:cs="Calibri"/>
        </w:rPr>
        <w:t>requirements may</w:t>
      </w:r>
      <w:r w:rsidRPr="3904A4FB">
        <w:rPr>
          <w:rFonts w:ascii="Calibri" w:eastAsia="Calibri" w:hAnsi="Calibri" w:cs="Calibri"/>
        </w:rPr>
        <w:t xml:space="preserve"> result in </w:t>
      </w:r>
      <w:r w:rsidR="30742FFB" w:rsidRPr="3904A4FB">
        <w:rPr>
          <w:rFonts w:ascii="Calibri" w:eastAsia="Calibri" w:hAnsi="Calibri" w:cs="Calibri"/>
        </w:rPr>
        <w:t>larger barriers for entry into research experiences</w:t>
      </w:r>
      <w:r w:rsidRPr="3904A4FB">
        <w:rPr>
          <w:rFonts w:ascii="Calibri" w:eastAsia="Calibri" w:hAnsi="Calibri" w:cs="Calibri"/>
        </w:rPr>
        <w:t xml:space="preserve">. </w:t>
      </w:r>
      <w:r w:rsidR="30742FFB" w:rsidRPr="3904A4FB">
        <w:rPr>
          <w:rFonts w:ascii="Calibri" w:eastAsia="Calibri" w:hAnsi="Calibri" w:cs="Calibri"/>
        </w:rPr>
        <w:t xml:space="preserve">Furthermore, completion of research or scholarly dissemination may be impacted when </w:t>
      </w:r>
      <w:r w:rsidR="2BEB86E3" w:rsidRPr="3904A4FB">
        <w:rPr>
          <w:rFonts w:ascii="Calibri" w:eastAsia="Calibri" w:hAnsi="Calibri" w:cs="Calibri"/>
        </w:rPr>
        <w:t>learner</w:t>
      </w:r>
      <w:r w:rsidR="30742FFB" w:rsidRPr="3904A4FB">
        <w:rPr>
          <w:rFonts w:ascii="Calibri" w:eastAsia="Calibri" w:hAnsi="Calibri" w:cs="Calibri"/>
        </w:rPr>
        <w:t>s complete their education and training or transition to new roles.</w:t>
      </w:r>
      <w:r w:rsidR="00A86B60" w:rsidRPr="00A86B60">
        <w:rPr>
          <w:rFonts w:ascii="Calibri" w:eastAsia="Calibri" w:hAnsi="Calibri" w:cs="Calibri"/>
          <w:vertAlign w:val="superscript"/>
        </w:rPr>
        <w:t>12-14</w:t>
      </w:r>
      <w:r w:rsidR="30742FFB" w:rsidRPr="3904A4FB">
        <w:rPr>
          <w:rFonts w:ascii="Calibri" w:eastAsia="Calibri" w:hAnsi="Calibri" w:cs="Calibri"/>
        </w:rPr>
        <w:t xml:space="preserve"> </w:t>
      </w:r>
      <w:r w:rsidRPr="3904A4FB">
        <w:rPr>
          <w:rFonts w:ascii="Calibri" w:eastAsia="Calibri" w:hAnsi="Calibri" w:cs="Calibri"/>
        </w:rPr>
        <w:t>A final barrier for</w:t>
      </w:r>
      <w:r w:rsidR="68DD911F" w:rsidRPr="3904A4FB">
        <w:rPr>
          <w:rFonts w:ascii="Calibri" w:eastAsia="Calibri" w:hAnsi="Calibri" w:cs="Calibri"/>
        </w:rPr>
        <w:t xml:space="preserve"> practicing pharmacists and</w:t>
      </w:r>
      <w:r w:rsidRPr="3904A4FB">
        <w:rPr>
          <w:rFonts w:ascii="Calibri" w:eastAsia="Calibri" w:hAnsi="Calibri" w:cs="Calibri"/>
        </w:rPr>
        <w:t xml:space="preserve"> trainees may be rejection of submitted scholarly projects to peer-reviewed journals.</w:t>
      </w:r>
      <w:r w:rsidR="00A86B60" w:rsidRPr="00A86B60">
        <w:rPr>
          <w:rFonts w:ascii="Calibri" w:eastAsia="Calibri" w:hAnsi="Calibri" w:cs="Calibri"/>
          <w:vertAlign w:val="superscript"/>
        </w:rPr>
        <w:t>12-14</w:t>
      </w:r>
      <w:r w:rsidR="4A796F15" w:rsidRPr="005D0507">
        <w:rPr>
          <w:rFonts w:ascii="Calibri" w:eastAsia="Calibri" w:hAnsi="Calibri" w:cs="Calibri"/>
          <w:b/>
          <w:bCs/>
        </w:rPr>
        <w:t xml:space="preserve"> </w:t>
      </w:r>
      <w:r w:rsidR="1B41B47A" w:rsidRPr="005D0507">
        <w:rPr>
          <w:rFonts w:ascii="Calibri" w:eastAsia="Calibri" w:hAnsi="Calibri" w:cs="Calibri"/>
        </w:rPr>
        <w:t xml:space="preserve">Cumulatively, these individual and </w:t>
      </w:r>
      <w:r w:rsidR="005D0507">
        <w:rPr>
          <w:rFonts w:ascii="Calibri" w:eastAsia="Calibri" w:hAnsi="Calibri" w:cs="Calibri"/>
        </w:rPr>
        <w:t>system</w:t>
      </w:r>
      <w:r w:rsidR="1B41B47A" w:rsidRPr="005D0507">
        <w:rPr>
          <w:rFonts w:ascii="Calibri" w:eastAsia="Calibri" w:hAnsi="Calibri" w:cs="Calibri"/>
        </w:rPr>
        <w:t xml:space="preserve"> barriers prohibit </w:t>
      </w:r>
      <w:r w:rsidR="1EF3E6E7" w:rsidRPr="005D0507">
        <w:rPr>
          <w:rFonts w:ascii="Calibri" w:eastAsia="Calibri" w:hAnsi="Calibri" w:cs="Calibri"/>
        </w:rPr>
        <w:t xml:space="preserve">ready access of learners and mentors to </w:t>
      </w:r>
      <w:r w:rsidR="4D45B491" w:rsidRPr="005D0507">
        <w:rPr>
          <w:rFonts w:ascii="Calibri" w:eastAsia="Calibri" w:hAnsi="Calibri" w:cs="Calibri"/>
        </w:rPr>
        <w:t>shared research experiences that will build</w:t>
      </w:r>
      <w:r w:rsidR="08D28646" w:rsidRPr="005D0507">
        <w:rPr>
          <w:rFonts w:ascii="Calibri" w:eastAsia="Calibri" w:hAnsi="Calibri" w:cs="Calibri"/>
        </w:rPr>
        <w:t xml:space="preserve"> </w:t>
      </w:r>
      <w:r w:rsidR="4D45B491" w:rsidRPr="005D0507">
        <w:rPr>
          <w:rFonts w:ascii="Calibri" w:eastAsia="Calibri" w:hAnsi="Calibri" w:cs="Calibri"/>
        </w:rPr>
        <w:t xml:space="preserve">skills and </w:t>
      </w:r>
      <w:r w:rsidR="0FE3C5C3" w:rsidRPr="3904A4FB">
        <w:rPr>
          <w:rFonts w:ascii="Calibri" w:eastAsia="Calibri" w:hAnsi="Calibri" w:cs="Calibri"/>
        </w:rPr>
        <w:t xml:space="preserve">ultimately </w:t>
      </w:r>
      <w:r w:rsidR="4D45B491" w:rsidRPr="005D0507">
        <w:rPr>
          <w:rFonts w:ascii="Calibri" w:eastAsia="Calibri" w:hAnsi="Calibri" w:cs="Calibri"/>
        </w:rPr>
        <w:t>advance patient care</w:t>
      </w:r>
      <w:r w:rsidR="5F0148B9" w:rsidRPr="3904A4FB">
        <w:rPr>
          <w:rFonts w:ascii="Calibri" w:eastAsia="Calibri" w:hAnsi="Calibri" w:cs="Calibri"/>
        </w:rPr>
        <w:t xml:space="preserve"> and pharmacy practice</w:t>
      </w:r>
      <w:r w:rsidR="4D45B491" w:rsidRPr="002F5ACA">
        <w:rPr>
          <w:rFonts w:ascii="Calibri" w:eastAsia="Calibri" w:hAnsi="Calibri" w:cs="Calibri"/>
        </w:rPr>
        <w:t xml:space="preserve">. </w:t>
      </w:r>
      <w:r w:rsidR="1B41B47A" w:rsidRPr="002F5ACA">
        <w:rPr>
          <w:rFonts w:ascii="Calibri" w:eastAsia="Calibri" w:hAnsi="Calibri" w:cs="Calibri"/>
        </w:rPr>
        <w:t xml:space="preserve"> </w:t>
      </w:r>
      <w:r w:rsidR="4A796F15" w:rsidRPr="002F5ACA">
        <w:rPr>
          <w:rFonts w:ascii="Calibri" w:eastAsia="Calibri" w:hAnsi="Calibri" w:cs="Calibri"/>
          <w:b/>
          <w:bCs/>
        </w:rPr>
        <w:t xml:space="preserve"> </w:t>
      </w:r>
      <w:r w:rsidR="15B44232" w:rsidRPr="002F5ACA">
        <w:rPr>
          <w:rFonts w:ascii="Calibri" w:eastAsia="Calibri" w:hAnsi="Calibri" w:cs="Calibri"/>
          <w:b/>
          <w:bCs/>
        </w:rPr>
        <w:t xml:space="preserve">  </w:t>
      </w:r>
    </w:p>
    <w:p w14:paraId="71983BDA" w14:textId="52E74CB8" w:rsidR="155CA4A9" w:rsidRPr="00CB0544" w:rsidRDefault="005B1369" w:rsidP="0EFD6715">
      <w:pPr>
        <w:spacing w:after="0" w:line="480" w:lineRule="auto"/>
        <w:ind w:firstLine="720"/>
        <w:rPr>
          <w:rFonts w:ascii="Calibri" w:eastAsia="Calibri" w:hAnsi="Calibri" w:cs="Calibri"/>
        </w:rPr>
      </w:pPr>
      <w:r>
        <w:rPr>
          <w:rFonts w:ascii="Calibri" w:eastAsia="Calibri" w:hAnsi="Calibri" w:cs="Calibri"/>
        </w:rPr>
        <w:t>A</w:t>
      </w:r>
      <w:r w:rsidR="005D0507">
        <w:rPr>
          <w:rFonts w:ascii="Calibri" w:eastAsia="Calibri" w:hAnsi="Calibri" w:cs="Calibri"/>
        </w:rPr>
        <w:t xml:space="preserve"> </w:t>
      </w:r>
      <w:r w:rsidR="4928E18E" w:rsidRPr="002F5ACA">
        <w:rPr>
          <w:rFonts w:ascii="Calibri" w:eastAsia="Calibri" w:hAnsi="Calibri" w:cs="Calibri"/>
        </w:rPr>
        <w:t xml:space="preserve">lack of </w:t>
      </w:r>
      <w:r>
        <w:rPr>
          <w:rFonts w:ascii="Calibri" w:eastAsia="Calibri" w:hAnsi="Calibri" w:cs="Calibri"/>
        </w:rPr>
        <w:t>structured</w:t>
      </w:r>
      <w:r w:rsidR="4928E18E" w:rsidRPr="00CB0544">
        <w:rPr>
          <w:rFonts w:ascii="Calibri" w:eastAsia="Calibri" w:hAnsi="Calibri" w:cs="Calibri"/>
        </w:rPr>
        <w:t xml:space="preserve"> research requirements in PharmD and residency programs</w:t>
      </w:r>
      <w:r w:rsidR="00091732">
        <w:rPr>
          <w:rFonts w:ascii="Calibri" w:eastAsia="Calibri" w:hAnsi="Calibri" w:cs="Calibri"/>
        </w:rPr>
        <w:t>, alongside</w:t>
      </w:r>
      <w:r w:rsidR="6002A6DC" w:rsidRPr="002F5ACA">
        <w:rPr>
          <w:rFonts w:ascii="Calibri" w:eastAsia="Calibri" w:hAnsi="Calibri" w:cs="Calibri"/>
        </w:rPr>
        <w:t xml:space="preserve"> barriers outlined above,</w:t>
      </w:r>
      <w:r w:rsidR="00091732">
        <w:rPr>
          <w:rFonts w:ascii="Calibri" w:eastAsia="Calibri" w:hAnsi="Calibri" w:cs="Calibri"/>
        </w:rPr>
        <w:t xml:space="preserve"> results in varied</w:t>
      </w:r>
      <w:r w:rsidR="6002A6DC" w:rsidRPr="00CB0544">
        <w:rPr>
          <w:rFonts w:ascii="Calibri" w:eastAsia="Calibri" w:hAnsi="Calibri" w:cs="Calibri"/>
        </w:rPr>
        <w:t xml:space="preserve"> research opportunities and exposure </w:t>
      </w:r>
      <w:r w:rsidR="000607ED">
        <w:rPr>
          <w:rFonts w:ascii="Calibri" w:eastAsia="Calibri" w:hAnsi="Calibri" w:cs="Calibri"/>
        </w:rPr>
        <w:t>for</w:t>
      </w:r>
      <w:r w:rsidR="6002A6DC" w:rsidRPr="00CB0544">
        <w:rPr>
          <w:rFonts w:ascii="Calibri" w:eastAsia="Calibri" w:hAnsi="Calibri" w:cs="Calibri"/>
        </w:rPr>
        <w:t xml:space="preserve"> pharmacists newly entering the workforce.  </w:t>
      </w:r>
      <w:r w:rsidR="2D7C3DCF" w:rsidRPr="00CB0544">
        <w:rPr>
          <w:rFonts w:ascii="Calibri" w:eastAsia="Calibri" w:hAnsi="Calibri" w:cs="Calibri"/>
        </w:rPr>
        <w:t>The</w:t>
      </w:r>
      <w:r w:rsidR="005D0507">
        <w:rPr>
          <w:rFonts w:ascii="Calibri" w:eastAsia="Calibri" w:hAnsi="Calibri" w:cs="Calibri"/>
        </w:rPr>
        <w:t xml:space="preserve"> Accreditation Council for Pharmacy Education (ACPE)</w:t>
      </w:r>
      <w:r w:rsidR="2D7C3DCF" w:rsidRPr="00CB0544">
        <w:rPr>
          <w:rFonts w:ascii="Calibri" w:eastAsia="Calibri" w:hAnsi="Calibri" w:cs="Calibri"/>
        </w:rPr>
        <w:t xml:space="preserve"> 2016 standards include research design as a component of the core curriculum; however, </w:t>
      </w:r>
      <w:r w:rsidR="44B352DD" w:rsidRPr="00CB0544">
        <w:rPr>
          <w:rFonts w:ascii="Calibri" w:eastAsia="Calibri" w:hAnsi="Calibri" w:cs="Calibri"/>
        </w:rPr>
        <w:t>few schools require students to</w:t>
      </w:r>
      <w:r w:rsidR="005D0507">
        <w:rPr>
          <w:rFonts w:ascii="Calibri" w:eastAsia="Calibri" w:hAnsi="Calibri" w:cs="Calibri"/>
        </w:rPr>
        <w:t xml:space="preserve"> formally</w:t>
      </w:r>
      <w:r w:rsidR="44B352DD" w:rsidRPr="00CB0544">
        <w:rPr>
          <w:rFonts w:ascii="Calibri" w:eastAsia="Calibri" w:hAnsi="Calibri" w:cs="Calibri"/>
        </w:rPr>
        <w:t xml:space="preserve"> participate in research</w:t>
      </w:r>
      <w:r w:rsidR="2D7C3DCF" w:rsidRPr="00CB0544">
        <w:rPr>
          <w:rFonts w:ascii="Calibri" w:eastAsia="Calibri" w:hAnsi="Calibri" w:cs="Calibri"/>
        </w:rPr>
        <w:t xml:space="preserve"> project</w:t>
      </w:r>
      <w:r w:rsidR="2E147CD6" w:rsidRPr="00CB0544">
        <w:rPr>
          <w:rFonts w:ascii="Calibri" w:eastAsia="Calibri" w:hAnsi="Calibri" w:cs="Calibri"/>
        </w:rPr>
        <w:t>s</w:t>
      </w:r>
      <w:r w:rsidR="2D7C3DCF" w:rsidRPr="00CB0544">
        <w:rPr>
          <w:rFonts w:ascii="Calibri" w:eastAsia="Calibri" w:hAnsi="Calibri" w:cs="Calibri"/>
        </w:rPr>
        <w:t>.</w:t>
      </w:r>
      <w:r w:rsidR="00181D1A" w:rsidRPr="00181D1A">
        <w:rPr>
          <w:rFonts w:ascii="Calibri" w:eastAsia="Calibri" w:hAnsi="Calibri" w:cs="Calibri"/>
          <w:vertAlign w:val="superscript"/>
        </w:rPr>
        <w:t>1,13,17</w:t>
      </w:r>
      <w:r w:rsidR="00181D1A">
        <w:rPr>
          <w:rFonts w:ascii="Calibri" w:eastAsia="Calibri" w:hAnsi="Calibri" w:cs="Calibri"/>
        </w:rPr>
        <w:t xml:space="preserve"> </w:t>
      </w:r>
      <w:r w:rsidR="00B33CC3">
        <w:rPr>
          <w:rFonts w:ascii="Calibri" w:eastAsia="Calibri" w:hAnsi="Calibri" w:cs="Calibri"/>
        </w:rPr>
        <w:t>Additionally, the</w:t>
      </w:r>
      <w:r w:rsidR="26ABB047" w:rsidRPr="00CB0544">
        <w:rPr>
          <w:rFonts w:ascii="Calibri" w:eastAsia="Calibri" w:hAnsi="Calibri" w:cs="Calibri"/>
        </w:rPr>
        <w:t xml:space="preserve"> </w:t>
      </w:r>
      <w:r w:rsidR="005D0507">
        <w:rPr>
          <w:rFonts w:ascii="Calibri" w:eastAsia="Calibri" w:hAnsi="Calibri" w:cs="Calibri"/>
        </w:rPr>
        <w:t xml:space="preserve">American Society of Health-System Pharmacists (ASHP) </w:t>
      </w:r>
      <w:r w:rsidR="26ABB047" w:rsidRPr="00CB0544">
        <w:rPr>
          <w:rFonts w:ascii="Calibri" w:eastAsia="Calibri" w:hAnsi="Calibri" w:cs="Calibri"/>
        </w:rPr>
        <w:t>accreditation standards</w:t>
      </w:r>
      <w:r w:rsidR="00B33CC3">
        <w:rPr>
          <w:rFonts w:ascii="Calibri" w:eastAsia="Calibri" w:hAnsi="Calibri" w:cs="Calibri"/>
        </w:rPr>
        <w:t xml:space="preserve"> state</w:t>
      </w:r>
      <w:r w:rsidR="26ABB047" w:rsidRPr="00CB0544">
        <w:rPr>
          <w:rFonts w:ascii="Calibri" w:eastAsia="Calibri" w:hAnsi="Calibri" w:cs="Calibri"/>
        </w:rPr>
        <w:t xml:space="preserve"> residency programs must provide the opportunity to “demonstrate the ability to evaluate and </w:t>
      </w:r>
      <w:r w:rsidR="23027FDE" w:rsidRPr="00CB0544">
        <w:rPr>
          <w:rFonts w:ascii="Calibri" w:eastAsia="Calibri" w:hAnsi="Calibri" w:cs="Calibri"/>
        </w:rPr>
        <w:t>investigate practi</w:t>
      </w:r>
      <w:r w:rsidR="706C094A" w:rsidRPr="00CB0544">
        <w:rPr>
          <w:rFonts w:ascii="Calibri" w:eastAsia="Calibri" w:hAnsi="Calibri" w:cs="Calibri"/>
        </w:rPr>
        <w:t>ce, review data, and assimilate scientific evidence to improve patient care and/or the medication-use system.”</w:t>
      </w:r>
      <w:r w:rsidR="00181D1A" w:rsidRPr="00181D1A">
        <w:rPr>
          <w:rFonts w:ascii="Calibri" w:eastAsia="Calibri" w:hAnsi="Calibri" w:cs="Calibri"/>
          <w:vertAlign w:val="superscript"/>
        </w:rPr>
        <w:t>18</w:t>
      </w:r>
      <w:r w:rsidR="07FCCAB1" w:rsidRPr="00CB0544">
        <w:rPr>
          <w:rFonts w:ascii="Calibri" w:eastAsia="Calibri" w:hAnsi="Calibri" w:cs="Calibri"/>
        </w:rPr>
        <w:t xml:space="preserve">  The standards do not dictate that all residents complete a research </w:t>
      </w:r>
      <w:r w:rsidR="003712BA" w:rsidRPr="00CB0544">
        <w:rPr>
          <w:rFonts w:ascii="Calibri" w:eastAsia="Calibri" w:hAnsi="Calibri" w:cs="Calibri"/>
        </w:rPr>
        <w:t>project,</w:t>
      </w:r>
      <w:r w:rsidR="07FCCAB1" w:rsidRPr="00CB0544">
        <w:rPr>
          <w:rFonts w:ascii="Calibri" w:eastAsia="Calibri" w:hAnsi="Calibri" w:cs="Calibri"/>
        </w:rPr>
        <w:t xml:space="preserve"> nor do they provide programs the framework for a research curriculum. </w:t>
      </w:r>
      <w:r w:rsidR="0E636115" w:rsidRPr="00CB0544">
        <w:rPr>
          <w:rFonts w:ascii="Calibri" w:eastAsia="Calibri" w:hAnsi="Calibri" w:cs="Calibri"/>
        </w:rPr>
        <w:t xml:space="preserve"> The lack of robust, formalized research programs in residency training is highlighted by low levels of publication rates for pharmacy resident projects.</w:t>
      </w:r>
      <w:r w:rsidR="00181D1A" w:rsidRPr="00181D1A">
        <w:rPr>
          <w:rFonts w:ascii="Calibri" w:eastAsia="Calibri" w:hAnsi="Calibri" w:cs="Calibri"/>
          <w:vertAlign w:val="superscript"/>
        </w:rPr>
        <w:t>1</w:t>
      </w:r>
      <w:r w:rsidR="00927226">
        <w:rPr>
          <w:rFonts w:ascii="Calibri" w:eastAsia="Calibri" w:hAnsi="Calibri" w:cs="Calibri"/>
          <w:vertAlign w:val="superscript"/>
        </w:rPr>
        <w:t>4,19</w:t>
      </w:r>
      <w:r w:rsidR="00181D1A" w:rsidRPr="00181D1A">
        <w:rPr>
          <w:rFonts w:ascii="Calibri" w:eastAsia="Calibri" w:hAnsi="Calibri" w:cs="Calibri"/>
          <w:vertAlign w:val="superscript"/>
        </w:rPr>
        <w:t>-2</w:t>
      </w:r>
      <w:r w:rsidR="00927226">
        <w:rPr>
          <w:rFonts w:ascii="Calibri" w:eastAsia="Calibri" w:hAnsi="Calibri" w:cs="Calibri"/>
          <w:vertAlign w:val="superscript"/>
        </w:rPr>
        <w:t>2</w:t>
      </w:r>
      <w:r w:rsidR="0E636115" w:rsidRPr="00CB0544">
        <w:rPr>
          <w:rFonts w:ascii="Calibri" w:eastAsia="Calibri" w:hAnsi="Calibri" w:cs="Calibri"/>
        </w:rPr>
        <w:t xml:space="preserve"> </w:t>
      </w:r>
      <w:r w:rsidR="2CA7A7BA" w:rsidRPr="00CB0544">
        <w:rPr>
          <w:rFonts w:ascii="Calibri" w:eastAsia="Calibri" w:hAnsi="Calibri" w:cs="Calibri"/>
        </w:rPr>
        <w:t>Variability in experiences likely contributes to low levels of participation and lac</w:t>
      </w:r>
      <w:r w:rsidR="184314F9" w:rsidRPr="00CB0544">
        <w:rPr>
          <w:rFonts w:ascii="Calibri" w:eastAsia="Calibri" w:hAnsi="Calibri" w:cs="Calibri"/>
        </w:rPr>
        <w:t>k of structured research opportunities</w:t>
      </w:r>
      <w:r w:rsidR="2CA7A7BA" w:rsidRPr="00CB0544">
        <w:rPr>
          <w:rFonts w:ascii="Calibri" w:eastAsia="Calibri" w:hAnsi="Calibri" w:cs="Calibri"/>
        </w:rPr>
        <w:t xml:space="preserve"> </w:t>
      </w:r>
      <w:r w:rsidR="005D0507">
        <w:rPr>
          <w:rFonts w:ascii="Calibri" w:eastAsia="Calibri" w:hAnsi="Calibri" w:cs="Calibri"/>
        </w:rPr>
        <w:t xml:space="preserve">and development </w:t>
      </w:r>
      <w:r w:rsidR="2CA7A7BA" w:rsidRPr="00CB0544">
        <w:rPr>
          <w:rFonts w:ascii="Calibri" w:eastAsia="Calibri" w:hAnsi="Calibri" w:cs="Calibri"/>
        </w:rPr>
        <w:t>for pharmacy learners and mentors.</w:t>
      </w:r>
    </w:p>
    <w:p w14:paraId="2420E822" w14:textId="77777777" w:rsidR="00ED06D2" w:rsidRDefault="00ED06D2" w:rsidP="00ED06D2">
      <w:pPr>
        <w:spacing w:after="0" w:line="480" w:lineRule="auto"/>
        <w:rPr>
          <w:rFonts w:ascii="Calibri" w:eastAsia="Calibri" w:hAnsi="Calibri" w:cs="Calibri"/>
        </w:rPr>
      </w:pPr>
    </w:p>
    <w:p w14:paraId="29508C73" w14:textId="77777777" w:rsidR="005D0507" w:rsidRDefault="005D0507" w:rsidP="00ED06D2">
      <w:pPr>
        <w:spacing w:after="0" w:line="480" w:lineRule="auto"/>
        <w:rPr>
          <w:rFonts w:ascii="Calibri" w:eastAsia="Calibri" w:hAnsi="Calibri" w:cs="Calibri"/>
        </w:rPr>
      </w:pPr>
    </w:p>
    <w:p w14:paraId="25A77A93" w14:textId="77777777" w:rsidR="005D0507" w:rsidRDefault="005D0507" w:rsidP="00ED06D2">
      <w:pPr>
        <w:spacing w:after="0" w:line="480" w:lineRule="auto"/>
        <w:rPr>
          <w:rFonts w:ascii="Calibri" w:eastAsia="Calibri" w:hAnsi="Calibri" w:cs="Calibri"/>
        </w:rPr>
      </w:pPr>
    </w:p>
    <w:p w14:paraId="79D0079A" w14:textId="04CEA3B2" w:rsidR="001D6574" w:rsidRPr="00ED06D2" w:rsidRDefault="00565A2C" w:rsidP="00ED06D2">
      <w:pPr>
        <w:spacing w:after="0" w:line="480" w:lineRule="auto"/>
        <w:rPr>
          <w:rStyle w:val="normaltextrun"/>
          <w:rFonts w:ascii="Calibri" w:eastAsia="Calibri" w:hAnsi="Calibri" w:cs="Calibri"/>
        </w:rPr>
      </w:pPr>
      <w:r w:rsidRPr="5493CFE4">
        <w:rPr>
          <w:rStyle w:val="eop"/>
          <w:rFonts w:ascii="Calibri" w:hAnsi="Calibri" w:cs="Calibri"/>
          <w:b/>
          <w:bCs/>
        </w:rPr>
        <w:lastRenderedPageBreak/>
        <w:t>2. Utility</w:t>
      </w:r>
      <w:r w:rsidR="003216B9">
        <w:rPr>
          <w:rStyle w:val="eop"/>
          <w:rFonts w:ascii="Calibri" w:hAnsi="Calibri" w:cs="Calibri"/>
          <w:b/>
          <w:bCs/>
        </w:rPr>
        <w:t xml:space="preserve"> and </w:t>
      </w:r>
      <w:r w:rsidRPr="5493CFE4">
        <w:rPr>
          <w:rStyle w:val="eop"/>
          <w:rFonts w:ascii="Calibri" w:hAnsi="Calibri" w:cs="Calibri"/>
          <w:b/>
          <w:bCs/>
        </w:rPr>
        <w:t xml:space="preserve">Benefits of </w:t>
      </w:r>
      <w:r w:rsidR="00287572">
        <w:rPr>
          <w:rStyle w:val="eop"/>
          <w:rFonts w:ascii="Calibri" w:hAnsi="Calibri" w:cs="Calibri"/>
          <w:b/>
          <w:bCs/>
        </w:rPr>
        <w:t>Participation</w:t>
      </w:r>
      <w:r>
        <w:rPr>
          <w:rStyle w:val="normaltextrun"/>
          <w:rFonts w:ascii="Calibri" w:hAnsi="Calibri" w:cs="Calibri"/>
          <w:b/>
          <w:bCs/>
          <w:color w:val="000000"/>
          <w:shd w:val="clear" w:color="auto" w:fill="FFFFFF"/>
        </w:rPr>
        <w:t xml:space="preserve"> in Research </w:t>
      </w:r>
    </w:p>
    <w:p w14:paraId="3F533141" w14:textId="760631E7" w:rsidR="00565A2C" w:rsidRPr="001D6574" w:rsidRDefault="4FAE703B" w:rsidP="7BBD1B22">
      <w:pPr>
        <w:pStyle w:val="paragraph"/>
        <w:spacing w:before="0" w:beforeAutospacing="0" w:after="0" w:afterAutospacing="0" w:line="480" w:lineRule="auto"/>
        <w:ind w:firstLine="720"/>
        <w:textAlignment w:val="baseline"/>
        <w:rPr>
          <w:rFonts w:asciiTheme="minorHAnsi" w:hAnsiTheme="minorHAnsi" w:cstheme="minorBidi"/>
          <w:sz w:val="22"/>
          <w:szCs w:val="22"/>
        </w:rPr>
      </w:pPr>
      <w:r w:rsidRPr="3904A4FB">
        <w:rPr>
          <w:rFonts w:asciiTheme="minorHAnsi" w:hAnsiTheme="minorHAnsi" w:cstheme="minorBidi"/>
          <w:sz w:val="22"/>
          <w:szCs w:val="22"/>
        </w:rPr>
        <w:t xml:space="preserve">Pharmacy </w:t>
      </w:r>
      <w:r w:rsidR="343F2614" w:rsidRPr="3904A4FB">
        <w:rPr>
          <w:rFonts w:asciiTheme="minorHAnsi" w:hAnsiTheme="minorHAnsi" w:cstheme="minorBidi"/>
          <w:sz w:val="22"/>
          <w:szCs w:val="22"/>
        </w:rPr>
        <w:t xml:space="preserve">learners </w:t>
      </w:r>
      <w:r w:rsidRPr="3904A4FB">
        <w:rPr>
          <w:rFonts w:asciiTheme="minorHAnsi" w:hAnsiTheme="minorHAnsi" w:cstheme="minorBidi"/>
          <w:sz w:val="22"/>
          <w:szCs w:val="22"/>
        </w:rPr>
        <w:t>face enormous complexities with contemporary pharmacy practice. Thus, it is imperative that learners are equipped with the tools and skills necessary to identify, evaluate, communicate, and contribute to research findings as part of an evolving knowledge base.</w:t>
      </w:r>
      <w:r w:rsidR="000E43E7" w:rsidRPr="000E43E7">
        <w:rPr>
          <w:rFonts w:asciiTheme="minorHAnsi" w:hAnsiTheme="minorHAnsi" w:cstheme="minorBidi"/>
          <w:sz w:val="22"/>
          <w:szCs w:val="22"/>
          <w:vertAlign w:val="superscript"/>
        </w:rPr>
        <w:t>6</w:t>
      </w:r>
      <w:r w:rsidRPr="3904A4FB">
        <w:rPr>
          <w:rFonts w:asciiTheme="minorHAnsi" w:hAnsiTheme="minorHAnsi" w:cstheme="minorBidi"/>
          <w:sz w:val="22"/>
          <w:szCs w:val="22"/>
        </w:rPr>
        <w:t xml:space="preserve"> Participating as a student can provide a foundation to refine these skills during </w:t>
      </w:r>
      <w:r w:rsidR="00287572">
        <w:rPr>
          <w:rFonts w:asciiTheme="minorHAnsi" w:hAnsiTheme="minorHAnsi" w:cstheme="minorBidi"/>
          <w:sz w:val="22"/>
          <w:szCs w:val="22"/>
        </w:rPr>
        <w:t>postgraduate</w:t>
      </w:r>
      <w:r w:rsidRPr="3904A4FB">
        <w:rPr>
          <w:rFonts w:asciiTheme="minorHAnsi" w:hAnsiTheme="minorHAnsi" w:cstheme="minorBidi"/>
          <w:sz w:val="22"/>
          <w:szCs w:val="22"/>
        </w:rPr>
        <w:t xml:space="preserve"> training. Certainly, pharmacy organizations and accrediting bodies </w:t>
      </w:r>
      <w:r w:rsidR="7091E3F3" w:rsidRPr="3904A4FB">
        <w:rPr>
          <w:rFonts w:asciiTheme="minorHAnsi" w:hAnsiTheme="minorHAnsi" w:cstheme="minorBidi"/>
          <w:sz w:val="22"/>
          <w:szCs w:val="22"/>
        </w:rPr>
        <w:t xml:space="preserve">consider </w:t>
      </w:r>
      <w:r w:rsidRPr="3904A4FB">
        <w:rPr>
          <w:rFonts w:asciiTheme="minorHAnsi" w:hAnsiTheme="minorHAnsi" w:cstheme="minorBidi"/>
          <w:sz w:val="22"/>
          <w:szCs w:val="22"/>
        </w:rPr>
        <w:t>research a valuable means to advance clinical pharmacy practice and education and, although strict guidance is not provided, it is a requirement in accreditation standards.</w:t>
      </w:r>
      <w:r w:rsidR="000E43E7" w:rsidRPr="000E43E7">
        <w:rPr>
          <w:rFonts w:asciiTheme="minorHAnsi" w:hAnsiTheme="minorHAnsi" w:cstheme="minorBidi"/>
          <w:sz w:val="22"/>
          <w:szCs w:val="22"/>
          <w:vertAlign w:val="superscript"/>
        </w:rPr>
        <w:t>1,2,23,24</w:t>
      </w:r>
      <w:r w:rsidRPr="3904A4FB">
        <w:rPr>
          <w:rFonts w:asciiTheme="minorHAnsi" w:hAnsiTheme="minorHAnsi" w:cstheme="minorBidi"/>
          <w:sz w:val="22"/>
          <w:szCs w:val="22"/>
        </w:rPr>
        <w:t xml:space="preserve"> Research training can provide immense value and incentives to not only the learner, but the mentor leading the process</w:t>
      </w:r>
      <w:r w:rsidR="2F8CDF12" w:rsidRPr="3904A4FB">
        <w:rPr>
          <w:rFonts w:asciiTheme="minorHAnsi" w:hAnsiTheme="minorHAnsi" w:cstheme="minorBidi"/>
          <w:sz w:val="22"/>
          <w:szCs w:val="22"/>
        </w:rPr>
        <w:t xml:space="preserve"> as well as the institution (Table 1)</w:t>
      </w:r>
      <w:r w:rsidRPr="3904A4FB">
        <w:rPr>
          <w:rFonts w:asciiTheme="minorHAnsi" w:hAnsiTheme="minorHAnsi" w:cstheme="minorBidi"/>
          <w:sz w:val="22"/>
          <w:szCs w:val="22"/>
        </w:rPr>
        <w:t>.</w:t>
      </w:r>
    </w:p>
    <w:p w14:paraId="10DC6481" w14:textId="12A09634" w:rsidR="00A0726E" w:rsidRDefault="4FAE703B" w:rsidP="7BBD1B22">
      <w:pPr>
        <w:spacing w:line="480" w:lineRule="auto"/>
        <w:ind w:firstLine="720"/>
      </w:pPr>
      <w:r>
        <w:t>From a learner perspective, engaging in research and quality improvement</w:t>
      </w:r>
      <w:r w:rsidR="174F68AF">
        <w:t xml:space="preserve"> (QI)</w:t>
      </w:r>
      <w:r>
        <w:t xml:space="preserve"> projects </w:t>
      </w:r>
      <w:r w:rsidR="5F7BA515">
        <w:t xml:space="preserve">helps </w:t>
      </w:r>
      <w:r>
        <w:t>build foundational research knowledge and skills early in their training</w:t>
      </w:r>
      <w:r w:rsidR="279E3180">
        <w:t xml:space="preserve">. This </w:t>
      </w:r>
      <w:r>
        <w:t>develop</w:t>
      </w:r>
      <w:r w:rsidR="2329AB43">
        <w:t>s</w:t>
      </w:r>
      <w:r>
        <w:t xml:space="preserve"> and improve</w:t>
      </w:r>
      <w:r w:rsidR="2329AB43">
        <w:t>s</w:t>
      </w:r>
      <w:r>
        <w:t xml:space="preserve"> critical thinking and clinical reasoning skills.</w:t>
      </w:r>
      <w:r w:rsidR="000E43E7" w:rsidRPr="000E43E7">
        <w:rPr>
          <w:vertAlign w:val="superscript"/>
        </w:rPr>
        <w:t>6,7</w:t>
      </w:r>
      <w:r>
        <w:t xml:space="preserve"> </w:t>
      </w:r>
      <w:r w:rsidR="3CAB20FC">
        <w:t>H</w:t>
      </w:r>
      <w:r>
        <w:t>ighlight</w:t>
      </w:r>
      <w:r w:rsidR="3CAB20FC">
        <w:t>ing</w:t>
      </w:r>
      <w:r>
        <w:t xml:space="preserve"> the importance of evidence-based practice </w:t>
      </w:r>
      <w:r w:rsidR="155568B2">
        <w:t>is</w:t>
      </w:r>
      <w:r>
        <w:t xml:space="preserve"> beneficial</w:t>
      </w:r>
      <w:r w:rsidR="155568B2">
        <w:t xml:space="preserve"> </w:t>
      </w:r>
      <w:r>
        <w:t>regardless of future practice setting.</w:t>
      </w:r>
      <w:r w:rsidR="000E43E7" w:rsidRPr="000E43E7">
        <w:rPr>
          <w:vertAlign w:val="superscript"/>
        </w:rPr>
        <w:t>7</w:t>
      </w:r>
      <w:r>
        <w:t xml:space="preserve"> Furthermore, learners </w:t>
      </w:r>
      <w:r w:rsidR="137A7A48">
        <w:t xml:space="preserve">may </w:t>
      </w:r>
      <w:r w:rsidR="72C0F64B">
        <w:t xml:space="preserve">benefit from the </w:t>
      </w:r>
      <w:r w:rsidR="12CA97C6">
        <w:t>model</w:t>
      </w:r>
      <w:r w:rsidR="72C0F64B">
        <w:t>ing</w:t>
      </w:r>
      <w:r w:rsidR="12CA97C6">
        <w:t xml:space="preserve"> </w:t>
      </w:r>
      <w:r w:rsidR="2463C592">
        <w:t>and refine</w:t>
      </w:r>
      <w:r w:rsidR="3A0273BB">
        <w:t>ment of</w:t>
      </w:r>
      <w:r w:rsidR="2463C592">
        <w:t xml:space="preserve"> </w:t>
      </w:r>
      <w:r w:rsidR="152D3BBC">
        <w:t xml:space="preserve">essential </w:t>
      </w:r>
      <w:r>
        <w:t>skills including time and project management, collaboration and teamwork, and future mentorship.</w:t>
      </w:r>
      <w:r w:rsidR="000E43E7" w:rsidRPr="000E43E7">
        <w:rPr>
          <w:vertAlign w:val="superscript"/>
        </w:rPr>
        <w:t>6</w:t>
      </w:r>
      <w:r>
        <w:t xml:space="preserve"> Finally, learner </w:t>
      </w:r>
      <w:r w:rsidR="59E0F5D7">
        <w:t xml:space="preserve">involvement </w:t>
      </w:r>
      <w:r>
        <w:t xml:space="preserve">in the research process can develop interest and comfort in </w:t>
      </w:r>
      <w:r w:rsidR="121C3004">
        <w:t xml:space="preserve">future research </w:t>
      </w:r>
      <w:r>
        <w:t>participati</w:t>
      </w:r>
      <w:r w:rsidR="3E2CB48A">
        <w:t>on</w:t>
      </w:r>
      <w:r>
        <w:t>.</w:t>
      </w:r>
      <w:r w:rsidR="000E43E7" w:rsidRPr="000E43E7">
        <w:rPr>
          <w:vertAlign w:val="superscript"/>
        </w:rPr>
        <w:t>6</w:t>
      </w:r>
      <w:r>
        <w:t xml:space="preserve"> </w:t>
      </w:r>
      <w:r w:rsidR="155568B2">
        <w:t>Devoting</w:t>
      </w:r>
      <w:r>
        <w:t xml:space="preserve"> the </w:t>
      </w:r>
      <w:r w:rsidR="0B535FB7">
        <w:t xml:space="preserve">necessary </w:t>
      </w:r>
      <w:r>
        <w:t>time, critical thought, and resources require</w:t>
      </w:r>
      <w:r w:rsidR="2CB0CA7A">
        <w:t>d</w:t>
      </w:r>
      <w:r>
        <w:t xml:space="preserve"> from </w:t>
      </w:r>
      <w:r w:rsidR="5C77E411">
        <w:t xml:space="preserve">project </w:t>
      </w:r>
      <w:r>
        <w:t>conception to deliverables (e.g.</w:t>
      </w:r>
      <w:r w:rsidR="24CA75C2">
        <w:t>,</w:t>
      </w:r>
      <w:r>
        <w:t xml:space="preserve"> poster and/or publication)</w:t>
      </w:r>
      <w:r w:rsidR="5F9C4340">
        <w:t xml:space="preserve"> is</w:t>
      </w:r>
      <w:r>
        <w:t xml:space="preserve"> </w:t>
      </w:r>
      <w:r w:rsidR="65FAC0E5">
        <w:t>critical</w:t>
      </w:r>
      <w:r>
        <w:t xml:space="preserve"> as many of the intricacies and etiquette during the process can be </w:t>
      </w:r>
      <w:r w:rsidR="3136C57A">
        <w:t>unclear or unknown</w:t>
      </w:r>
      <w:r>
        <w:t>.</w:t>
      </w:r>
    </w:p>
    <w:p w14:paraId="6A17590D" w14:textId="3A5B58A5" w:rsidR="003A60A3" w:rsidRDefault="4FAE703B" w:rsidP="003A60A3">
      <w:pPr>
        <w:spacing w:line="480" w:lineRule="auto"/>
        <w:ind w:firstLine="720"/>
      </w:pPr>
      <w:r>
        <w:t xml:space="preserve">Aside from the skillset and interest gained by learners participating in research or </w:t>
      </w:r>
      <w:r w:rsidR="7B00A223">
        <w:t>QI</w:t>
      </w:r>
      <w:r>
        <w:t xml:space="preserve"> projects, many tangible benefits may also manifest. </w:t>
      </w:r>
      <w:r w:rsidR="5F8B5300">
        <w:t>Learners may obtain</w:t>
      </w:r>
      <w:r>
        <w:t xml:space="preserve"> credit hours for research electives or activities</w:t>
      </w:r>
      <w:r w:rsidR="5F8B5300">
        <w:t xml:space="preserve"> offered by their school or college of pharmacy</w:t>
      </w:r>
      <w:r>
        <w:t xml:space="preserve">, </w:t>
      </w:r>
      <w:r w:rsidR="61D80AFF">
        <w:t xml:space="preserve">while </w:t>
      </w:r>
      <w:r>
        <w:t xml:space="preserve">others </w:t>
      </w:r>
      <w:r w:rsidR="4424C8F9">
        <w:t>recruit</w:t>
      </w:r>
      <w:r w:rsidR="1BDA6CAC">
        <w:t xml:space="preserve"> </w:t>
      </w:r>
      <w:r w:rsidR="233665DA">
        <w:t>student researchers</w:t>
      </w:r>
      <w:r w:rsidR="1BDA6CAC">
        <w:t xml:space="preserve"> </w:t>
      </w:r>
      <w:r w:rsidR="0A24A328">
        <w:t>via</w:t>
      </w:r>
      <w:r>
        <w:t xml:space="preserve"> paid internship programs that involve research skill development.</w:t>
      </w:r>
      <w:r w:rsidR="000E43E7" w:rsidRPr="000E43E7">
        <w:rPr>
          <w:vertAlign w:val="superscript"/>
        </w:rPr>
        <w:t>25</w:t>
      </w:r>
      <w:r>
        <w:t xml:space="preserve"> </w:t>
      </w:r>
      <w:r w:rsidR="2F4CC94D">
        <w:t>R</w:t>
      </w:r>
      <w:r>
        <w:t xml:space="preserve">esearch experience has </w:t>
      </w:r>
      <w:r w:rsidR="5F8B5300">
        <w:t xml:space="preserve">also </w:t>
      </w:r>
      <w:r>
        <w:t>been shown to provide benefits for students seeking postgraduate training, including increased likelihood of obtaining</w:t>
      </w:r>
      <w:r w:rsidR="37DF5C87">
        <w:t xml:space="preserve"> invitations for</w:t>
      </w:r>
      <w:r>
        <w:t xml:space="preserve"> pharmacy residency interviews</w:t>
      </w:r>
      <w:r w:rsidR="37DF5C87">
        <w:t>.</w:t>
      </w:r>
      <w:r w:rsidR="000E43E7" w:rsidRPr="000E43E7">
        <w:rPr>
          <w:vertAlign w:val="superscript"/>
        </w:rPr>
        <w:t>7</w:t>
      </w:r>
      <w:r w:rsidR="37DF5C87">
        <w:t xml:space="preserve"> Furthermore, participation</w:t>
      </w:r>
      <w:r w:rsidR="553C9FD0">
        <w:t xml:space="preserve"> in</w:t>
      </w:r>
      <w:r w:rsidR="37DF5C87">
        <w:t xml:space="preserve"> robust research </w:t>
      </w:r>
      <w:r w:rsidR="37DF5C87">
        <w:lastRenderedPageBreak/>
        <w:t xml:space="preserve">experiences and programs </w:t>
      </w:r>
      <w:r w:rsidR="70505A5E">
        <w:t xml:space="preserve">has </w:t>
      </w:r>
      <w:r w:rsidR="37DF5C87">
        <w:t xml:space="preserve">been associated with improved </w:t>
      </w:r>
      <w:r w:rsidR="3A329859">
        <w:t xml:space="preserve">residency </w:t>
      </w:r>
      <w:r w:rsidR="37DF5C87">
        <w:t xml:space="preserve">match rates as well as </w:t>
      </w:r>
      <w:r w:rsidR="7629A2C7">
        <w:t xml:space="preserve">attainment of </w:t>
      </w:r>
      <w:r w:rsidR="37DF5C87">
        <w:t>other postgraduate training</w:t>
      </w:r>
      <w:r w:rsidR="3218EB0A">
        <w:t xml:space="preserve"> programs</w:t>
      </w:r>
      <w:r w:rsidR="37DF5C87">
        <w:t>.</w:t>
      </w:r>
      <w:r w:rsidR="000E43E7" w:rsidRPr="000E43E7">
        <w:rPr>
          <w:vertAlign w:val="superscript"/>
        </w:rPr>
        <w:t>17,26</w:t>
      </w:r>
    </w:p>
    <w:p w14:paraId="1FA7FB33" w14:textId="01F49DEB" w:rsidR="000F4505" w:rsidRDefault="72A8B53D" w:rsidP="000F4505">
      <w:pPr>
        <w:spacing w:line="480" w:lineRule="auto"/>
        <w:ind w:firstLine="720"/>
      </w:pPr>
      <w:r>
        <w:t xml:space="preserve">The </w:t>
      </w:r>
      <w:r w:rsidR="00287572">
        <w:t>ASHP</w:t>
      </w:r>
      <w:r w:rsidR="4FAE703B">
        <w:t xml:space="preserve"> C</w:t>
      </w:r>
      <w:r w:rsidR="1D201F1C">
        <w:t xml:space="preserve">ompetency </w:t>
      </w:r>
      <w:r w:rsidR="4FAE703B">
        <w:t>A</w:t>
      </w:r>
      <w:r w:rsidR="3586C46B">
        <w:t xml:space="preserve">reas, </w:t>
      </w:r>
      <w:r w:rsidR="4FAE703B">
        <w:t>G</w:t>
      </w:r>
      <w:r w:rsidR="016CFBB5">
        <w:t xml:space="preserve">oals, and </w:t>
      </w:r>
      <w:r w:rsidR="4FAE703B">
        <w:t>O</w:t>
      </w:r>
      <w:r w:rsidR="0137AE33">
        <w:t>bjective</w:t>
      </w:r>
      <w:r w:rsidR="4FAE703B">
        <w:t xml:space="preserve">s </w:t>
      </w:r>
      <w:r>
        <w:t xml:space="preserve">(CAGO) </w:t>
      </w:r>
      <w:r w:rsidR="4FAE703B">
        <w:t>require that residents participate in a practice</w:t>
      </w:r>
      <w:r w:rsidR="785B8AA0">
        <w:t>-</w:t>
      </w:r>
      <w:r w:rsidR="4FAE703B">
        <w:t>related project or research project, which serves as a mechanism to begin or expand the development of research skills in residents; however, the guidance to achieving this goal is not clear and programs offer varying levels of support and training.</w:t>
      </w:r>
      <w:r w:rsidR="000E43E7" w:rsidRPr="000E43E7">
        <w:rPr>
          <w:vertAlign w:val="superscript"/>
        </w:rPr>
        <w:t>18,27</w:t>
      </w:r>
      <w:r w:rsidR="4FAE703B">
        <w:t xml:space="preserve"> </w:t>
      </w:r>
      <w:r w:rsidR="7CA241BA">
        <w:t>Although</w:t>
      </w:r>
      <w:r w:rsidR="4FAE703B">
        <w:t xml:space="preserve"> there is less literature to support the influence of research training on </w:t>
      </w:r>
      <w:r w:rsidR="646F3103">
        <w:t>professional development</w:t>
      </w:r>
      <w:r w:rsidR="4FAE703B">
        <w:t xml:space="preserve"> following residency, </w:t>
      </w:r>
      <w:r w:rsidR="0B63B8A4">
        <w:t xml:space="preserve">participation in </w:t>
      </w:r>
      <w:r w:rsidR="4FAE703B">
        <w:t xml:space="preserve">research </w:t>
      </w:r>
      <w:r w:rsidR="0B63B8A4">
        <w:t>helps</w:t>
      </w:r>
      <w:r w:rsidR="4FAE703B">
        <w:t xml:space="preserve"> advance patient care and the profession.</w:t>
      </w:r>
      <w:r w:rsidR="000E43E7" w:rsidRPr="000E43E7">
        <w:rPr>
          <w:vertAlign w:val="superscript"/>
        </w:rPr>
        <w:t>6</w:t>
      </w:r>
      <w:r w:rsidR="4FAE703B">
        <w:t xml:space="preserve"> Formal research training during residency programs has been linked to increased confidence in statistical analysis and critique of the literature, </w:t>
      </w:r>
      <w:r w:rsidR="003A60A3">
        <w:t xml:space="preserve">which are </w:t>
      </w:r>
      <w:r w:rsidR="4FAE703B">
        <w:t>essential skills for practicing pharmacists.</w:t>
      </w:r>
      <w:r w:rsidR="000E43E7" w:rsidRPr="000E43E7">
        <w:rPr>
          <w:vertAlign w:val="superscript"/>
        </w:rPr>
        <w:t>28,29</w:t>
      </w:r>
      <w:r w:rsidR="4FAE703B">
        <w:t xml:space="preserve"> A strong residency research experience may increase future </w:t>
      </w:r>
      <w:r w:rsidR="15C64F5E">
        <w:t>publications,</w:t>
      </w:r>
      <w:r w:rsidR="4FAE703B">
        <w:t xml:space="preserve"> expand the pool of </w:t>
      </w:r>
      <w:r w:rsidR="700414F4">
        <w:t>experienced pharmacists</w:t>
      </w:r>
      <w:r w:rsidR="7FA6D18F">
        <w:t xml:space="preserve"> </w:t>
      </w:r>
      <w:r w:rsidR="7CA241BA">
        <w:t>who can</w:t>
      </w:r>
      <w:r w:rsidR="4FAE703B">
        <w:t xml:space="preserve"> train future </w:t>
      </w:r>
      <w:r w:rsidR="7CA241BA">
        <w:t>researchers and</w:t>
      </w:r>
      <w:r w:rsidR="4FAE703B">
        <w:t xml:space="preserve"> create a larger network of pharmacists involved in research.</w:t>
      </w:r>
      <w:r w:rsidR="000E43E7" w:rsidRPr="000E43E7">
        <w:rPr>
          <w:vertAlign w:val="superscript"/>
        </w:rPr>
        <w:t>6,30</w:t>
      </w:r>
      <w:r w:rsidR="4FAE703B">
        <w:t xml:space="preserve"> For residents pursuing opportunities in academia, strong training </w:t>
      </w:r>
      <w:r w:rsidR="0030412A">
        <w:t xml:space="preserve">in </w:t>
      </w:r>
      <w:r w:rsidR="00287572">
        <w:t xml:space="preserve">clinical research or scholarship of teaching and learning </w:t>
      </w:r>
      <w:r w:rsidR="0061184C">
        <w:t xml:space="preserve">(SoTL) </w:t>
      </w:r>
      <w:r w:rsidR="4FAE703B">
        <w:t>may better prepare new faculty members to successfully meet the expectations for all pillars of their role.</w:t>
      </w:r>
      <w:r w:rsidR="000E43E7" w:rsidRPr="000E43E7">
        <w:rPr>
          <w:vertAlign w:val="superscript"/>
        </w:rPr>
        <w:t>31</w:t>
      </w:r>
    </w:p>
    <w:p w14:paraId="6E730E92" w14:textId="16149650" w:rsidR="004D7AE3" w:rsidRDefault="7FA6D18F" w:rsidP="004D7AE3">
      <w:pPr>
        <w:spacing w:line="480" w:lineRule="auto"/>
        <w:ind w:firstLine="720"/>
      </w:pPr>
      <w:r>
        <w:t>Unfortunately</w:t>
      </w:r>
      <w:r w:rsidR="4FAE703B">
        <w:t xml:space="preserve">, benefits afforded to research mentors and sponsoring institutions are less rigorously studied in pharmacy literature. Limited studies published in peer-reviewed journals directly address absolute differences in scholarly output between pharmacists working with or without </w:t>
      </w:r>
      <w:r w:rsidR="46B7632D">
        <w:t>learner</w:t>
      </w:r>
      <w:r w:rsidR="4FAE703B">
        <w:t>s</w:t>
      </w:r>
      <w:r w:rsidR="14E0BD85">
        <w:t>. F</w:t>
      </w:r>
      <w:r w:rsidR="4FAE703B">
        <w:t xml:space="preserve">urthermore, such an assessment may not be feasible given the nature of </w:t>
      </w:r>
      <w:r w:rsidR="00287572">
        <w:t xml:space="preserve">pharmacy practice or </w:t>
      </w:r>
      <w:r w:rsidR="4FAE703B">
        <w:t>academi</w:t>
      </w:r>
      <w:r w:rsidR="01B8BE76">
        <w:t xml:space="preserve">a </w:t>
      </w:r>
      <w:r w:rsidR="4FAE703B">
        <w:t xml:space="preserve">and the ability to network and collaborate with researchers of varying levels of expertise. However, a systematic review of mentoring in academic medicine indicates </w:t>
      </w:r>
      <w:r w:rsidR="31519C86">
        <w:t xml:space="preserve">that mentorship, in general, is associated with </w:t>
      </w:r>
      <w:r w:rsidR="4FAE703B">
        <w:t xml:space="preserve">improved research productivity and receipt </w:t>
      </w:r>
      <w:r w:rsidR="4FC5F614">
        <w:t>of grants</w:t>
      </w:r>
      <w:r w:rsidR="4FAE703B">
        <w:t>.</w:t>
      </w:r>
      <w:r w:rsidR="000E43E7" w:rsidRPr="000E43E7">
        <w:rPr>
          <w:vertAlign w:val="superscript"/>
        </w:rPr>
        <w:t>32</w:t>
      </w:r>
      <w:r w:rsidR="06A8DCB0">
        <w:t xml:space="preserve"> </w:t>
      </w:r>
      <w:r w:rsidR="654418DD">
        <w:t xml:space="preserve">Formal mentorship </w:t>
      </w:r>
      <w:r w:rsidR="73617E54">
        <w:t xml:space="preserve">with experienced pharmacists </w:t>
      </w:r>
      <w:r w:rsidR="654418DD">
        <w:t xml:space="preserve">is not always necessary to improve </w:t>
      </w:r>
      <w:r w:rsidR="5A457099">
        <w:t xml:space="preserve">access to research experience and </w:t>
      </w:r>
      <w:r w:rsidR="654418DD">
        <w:t xml:space="preserve">scholarly output </w:t>
      </w:r>
      <w:r w:rsidR="48C785ED">
        <w:t>for trainees</w:t>
      </w:r>
      <w:r w:rsidR="1729B68C">
        <w:t xml:space="preserve">. </w:t>
      </w:r>
      <w:r w:rsidR="654418DD">
        <w:t xml:space="preserve">A </w:t>
      </w:r>
      <w:r w:rsidR="4FAE703B">
        <w:t>near-peer research mentoring program yielded multiple co-authored posters at national conferences with nearly 30% leading to peer-reviewed publications</w:t>
      </w:r>
      <w:r w:rsidR="1729B68C">
        <w:t>,</w:t>
      </w:r>
      <w:r w:rsidR="4FAE703B">
        <w:t xml:space="preserve"> in addition to $58,000 of </w:t>
      </w:r>
      <w:r w:rsidR="4FAE703B">
        <w:lastRenderedPageBreak/>
        <w:t>grants disbursed over the study period.</w:t>
      </w:r>
      <w:r w:rsidR="000E43E7" w:rsidRPr="000E43E7">
        <w:rPr>
          <w:vertAlign w:val="superscript"/>
        </w:rPr>
        <w:t>33</w:t>
      </w:r>
      <w:r w:rsidR="4FAE703B">
        <w:t xml:space="preserve"> </w:t>
      </w:r>
      <w:r w:rsidR="150F36C2">
        <w:t xml:space="preserve">In the near-peer mentoring model, </w:t>
      </w:r>
      <w:r w:rsidR="4FAE703B">
        <w:t xml:space="preserve">senior learners could develop their communication, facilitation, and management skills through the </w:t>
      </w:r>
      <w:r w:rsidR="398A5188">
        <w:t xml:space="preserve">near-peer </w:t>
      </w:r>
      <w:r w:rsidR="4FAE703B">
        <w:t xml:space="preserve">research relationship. Similarly, perceived research and communication competence were highly correlated in a survey of pharmacy mentors and trainees, </w:t>
      </w:r>
      <w:r w:rsidR="2D6A05DD">
        <w:t>proposing</w:t>
      </w:r>
      <w:r w:rsidR="4FAE703B">
        <w:t xml:space="preserve"> a strong link between these professional skills.</w:t>
      </w:r>
      <w:r w:rsidR="000E43E7" w:rsidRPr="000E43E7">
        <w:rPr>
          <w:vertAlign w:val="superscript"/>
        </w:rPr>
        <w:t>34</w:t>
      </w:r>
      <w:r w:rsidR="4FAE703B">
        <w:t xml:space="preserve"> </w:t>
      </w:r>
    </w:p>
    <w:p w14:paraId="601B651A" w14:textId="576BE26F" w:rsidR="0005385F" w:rsidRDefault="1F113765" w:rsidP="004D7AE3">
      <w:pPr>
        <w:spacing w:line="480" w:lineRule="auto"/>
        <w:ind w:firstLine="720"/>
      </w:pPr>
      <w:r w:rsidRPr="00ED3693">
        <w:t>While complex relationships exist between burnout and professional activities, research and mentorship may provide a</w:t>
      </w:r>
      <w:r w:rsidR="00ED3693">
        <w:t xml:space="preserve">n opportunity </w:t>
      </w:r>
      <w:r w:rsidRPr="00ED3693">
        <w:t>for clinicians to address burnout.</w:t>
      </w:r>
      <w:r w:rsidR="000E43E7" w:rsidRPr="000E43E7">
        <w:rPr>
          <w:vertAlign w:val="superscript"/>
        </w:rPr>
        <w:t>35</w:t>
      </w:r>
      <w:r w:rsidRPr="00ED3693">
        <w:t xml:space="preserve"> </w:t>
      </w:r>
      <w:r w:rsidR="2DFAE929" w:rsidRPr="00ED3693">
        <w:t xml:space="preserve">Specifically, if research and mentorship </w:t>
      </w:r>
      <w:r w:rsidR="4ED4C3A5" w:rsidRPr="00ED3693">
        <w:t>align with the</w:t>
      </w:r>
      <w:r w:rsidR="2DFAE929" w:rsidRPr="00ED3693">
        <w:t xml:space="preserve"> interests </w:t>
      </w:r>
      <w:r w:rsidR="76AE2FA6" w:rsidRPr="00ED3693">
        <w:t xml:space="preserve">of </w:t>
      </w:r>
      <w:r w:rsidR="2DFAE929" w:rsidRPr="00ED3693">
        <w:t xml:space="preserve">the mentor, </w:t>
      </w:r>
      <w:r w:rsidR="79740E54" w:rsidRPr="00ED3693">
        <w:t xml:space="preserve">these activities that promote autonomy, self-efficacy, </w:t>
      </w:r>
      <w:r w:rsidR="00ED3693" w:rsidRPr="00ED3693">
        <w:t>self-actualization,</w:t>
      </w:r>
      <w:r w:rsidR="79740E54" w:rsidRPr="00ED3693">
        <w:t xml:space="preserve"> and recognition have been shown to safeguard against professional burnout.</w:t>
      </w:r>
      <w:r w:rsidR="000E43E7" w:rsidRPr="000E43E7">
        <w:rPr>
          <w:vertAlign w:val="superscript"/>
        </w:rPr>
        <w:t>36</w:t>
      </w:r>
      <w:r w:rsidR="000E43E7">
        <w:rPr>
          <w:vertAlign w:val="superscript"/>
        </w:rPr>
        <w:t>,37</w:t>
      </w:r>
      <w:r w:rsidR="7242658B" w:rsidRPr="00ED3693">
        <w:t xml:space="preserve"> On the other hand, having to balance </w:t>
      </w:r>
      <w:r w:rsidR="5963EEE6" w:rsidRPr="00ED3693">
        <w:t xml:space="preserve">multiple </w:t>
      </w:r>
      <w:r w:rsidR="7242658B" w:rsidRPr="00ED3693">
        <w:t>additional responsibilities may contribute to burnout.</w:t>
      </w:r>
      <w:r w:rsidR="000E43E7" w:rsidRPr="000E43E7">
        <w:rPr>
          <w:vertAlign w:val="superscript"/>
        </w:rPr>
        <w:t>36</w:t>
      </w:r>
      <w:r w:rsidR="7242658B" w:rsidRPr="00ED3693">
        <w:t xml:space="preserve"> Mentorship</w:t>
      </w:r>
      <w:r w:rsidR="30CA5FB1" w:rsidRPr="00ED3693">
        <w:t xml:space="preserve"> in research</w:t>
      </w:r>
      <w:r w:rsidR="7242658B" w:rsidRPr="00ED3693">
        <w:t xml:space="preserve"> can be a </w:t>
      </w:r>
      <w:r w:rsidR="1A596116" w:rsidRPr="00ED3693">
        <w:t>beneficial</w:t>
      </w:r>
      <w:r w:rsidR="30CA5FB1" w:rsidRPr="00ED3693">
        <w:t xml:space="preserve"> experience but requires the mentor to have resources and bandwidth to commit towards </w:t>
      </w:r>
      <w:r w:rsidR="2B172555" w:rsidRPr="00ED3693">
        <w:t xml:space="preserve">this and </w:t>
      </w:r>
      <w:r w:rsidR="30CA5FB1" w:rsidRPr="00ED3693">
        <w:t>other responsibilities.</w:t>
      </w:r>
      <w:r w:rsidR="30CA5FB1">
        <w:t xml:space="preserve"> </w:t>
      </w:r>
    </w:p>
    <w:p w14:paraId="46A22CCA" w14:textId="366D3FDE" w:rsidR="00ED06D2" w:rsidRDefault="4FAE703B" w:rsidP="00ED06D2">
      <w:pPr>
        <w:spacing w:line="480" w:lineRule="auto"/>
        <w:ind w:firstLine="720"/>
      </w:pPr>
      <w:r>
        <w:t xml:space="preserve">Finally, support of pharmacy research may extend benefits to </w:t>
      </w:r>
      <w:r w:rsidR="466DF924">
        <w:t>partner healthcare institutions</w:t>
      </w:r>
      <w:r w:rsidR="7C62AB04">
        <w:t>,</w:t>
      </w:r>
      <w:r>
        <w:t xml:space="preserve"> as many </w:t>
      </w:r>
      <w:r w:rsidR="079870C8">
        <w:t xml:space="preserve">student projects and </w:t>
      </w:r>
      <w:r>
        <w:t>accredited pharmacy resident projects</w:t>
      </w:r>
      <w:r w:rsidR="079870C8">
        <w:t xml:space="preserve"> may</w:t>
      </w:r>
      <w:r>
        <w:t xml:space="preserve"> incorporate a quality improvement model, thus providing clinical or administrative return-on-investment for the institution.</w:t>
      </w:r>
      <w:r w:rsidR="000E43E7" w:rsidRPr="00BE5025">
        <w:rPr>
          <w:vertAlign w:val="superscript"/>
        </w:rPr>
        <w:t>1,2,</w:t>
      </w:r>
      <w:r w:rsidR="00BE5025" w:rsidRPr="00BE5025">
        <w:rPr>
          <w:vertAlign w:val="superscript"/>
        </w:rPr>
        <w:t>38,39</w:t>
      </w:r>
      <w:r>
        <w:t xml:space="preserve"> Medication use evaluations, QI project</w:t>
      </w:r>
      <w:r w:rsidR="0956DDE9">
        <w:t>s</w:t>
      </w:r>
      <w:r>
        <w:t>, and clinical service research projects all have the potential to justify services expansion, formulary changes, or other investment into pharmacy services. Local institutional and health-system impacts can be realized without the need for a formal peer-reviewed publication, addressing concerns of low student and resident research publication rates cited by some studies.</w:t>
      </w:r>
      <w:r w:rsidR="00BE5025" w:rsidRPr="00BE5025">
        <w:rPr>
          <w:vertAlign w:val="superscript"/>
        </w:rPr>
        <w:t>17</w:t>
      </w:r>
      <w:r w:rsidR="6B86D696">
        <w:t xml:space="preserve"> </w:t>
      </w:r>
      <w:r w:rsidR="0061184C">
        <w:t>Furthermore, schools or colleges of pharmacy may benefit from learners completing SoTL or QI projects</w:t>
      </w:r>
      <w:r w:rsidR="0061184C" w:rsidRPr="0061184C">
        <w:t xml:space="preserve"> </w:t>
      </w:r>
      <w:r w:rsidR="0061184C">
        <w:t>as this may spark pedagogical innovation</w:t>
      </w:r>
      <w:r w:rsidR="00B264A7">
        <w:t>,</w:t>
      </w:r>
      <w:r w:rsidR="0061184C">
        <w:t xml:space="preserve"> transform institutional policy</w:t>
      </w:r>
      <w:r w:rsidR="00B264A7">
        <w:t>, facilitate advances in curricula and assessment, and provide supporting evidence to share during the accreditation process</w:t>
      </w:r>
      <w:r w:rsidR="0061184C">
        <w:t>.</w:t>
      </w:r>
      <w:r w:rsidR="00BE5025" w:rsidRPr="00BE5025">
        <w:rPr>
          <w:vertAlign w:val="superscript"/>
        </w:rPr>
        <w:t>40</w:t>
      </w:r>
      <w:r w:rsidR="0061184C">
        <w:t xml:space="preserve"> </w:t>
      </w:r>
      <w:r w:rsidR="7C9EBFC7">
        <w:t xml:space="preserve">Overall, multiple benefits may exist to not only the </w:t>
      </w:r>
      <w:r w:rsidR="75205D2F">
        <w:t>learner</w:t>
      </w:r>
      <w:r w:rsidR="7C9EBFC7">
        <w:t xml:space="preserve">, but the </w:t>
      </w:r>
      <w:r w:rsidR="6B86D696">
        <w:t>mentor and institution</w:t>
      </w:r>
      <w:r w:rsidR="7C9EBFC7">
        <w:t xml:space="preserve"> when incorporating learners into research and QI projects.</w:t>
      </w:r>
    </w:p>
    <w:p w14:paraId="1C40A19B" w14:textId="77777777" w:rsidR="00ED06D2" w:rsidRDefault="00ED06D2" w:rsidP="00ED06D2">
      <w:pPr>
        <w:spacing w:line="480" w:lineRule="auto"/>
        <w:rPr>
          <w:b/>
          <w:bCs/>
        </w:rPr>
      </w:pPr>
    </w:p>
    <w:p w14:paraId="33C0B299" w14:textId="7DB4CD9B" w:rsidR="00565A2C" w:rsidRDefault="00565A2C" w:rsidP="00ED06D2">
      <w:pPr>
        <w:spacing w:line="480" w:lineRule="auto"/>
        <w:rPr>
          <w:b/>
          <w:bCs/>
        </w:rPr>
      </w:pPr>
      <w:r w:rsidRPr="00565A2C">
        <w:rPr>
          <w:b/>
          <w:bCs/>
        </w:rPr>
        <w:t xml:space="preserve">3. </w:t>
      </w:r>
      <w:r>
        <w:rPr>
          <w:b/>
          <w:bCs/>
        </w:rPr>
        <w:t>How-to Steps</w:t>
      </w:r>
      <w:r w:rsidR="008B5923">
        <w:rPr>
          <w:b/>
          <w:bCs/>
        </w:rPr>
        <w:t xml:space="preserve"> and </w:t>
      </w:r>
      <w:r>
        <w:rPr>
          <w:b/>
          <w:bCs/>
        </w:rPr>
        <w:t>Tips</w:t>
      </w:r>
    </w:p>
    <w:p w14:paraId="06FEF7C2" w14:textId="77777777" w:rsidR="00815E83" w:rsidRDefault="00815E83" w:rsidP="00815E83">
      <w:pPr>
        <w:spacing w:line="480" w:lineRule="auto"/>
        <w:rPr>
          <w:rFonts w:ascii="Calibri" w:eastAsia="Calibri" w:hAnsi="Calibri" w:cs="Calibri"/>
          <w:color w:val="000000" w:themeColor="text1"/>
        </w:rPr>
      </w:pPr>
      <w:r w:rsidRPr="7BBD1B22">
        <w:rPr>
          <w:rFonts w:ascii="Calibri" w:eastAsia="Calibri" w:hAnsi="Calibri" w:cs="Calibri"/>
          <w:i/>
          <w:iCs/>
          <w:color w:val="000000" w:themeColor="text1"/>
        </w:rPr>
        <w:t xml:space="preserve">3.1 </w:t>
      </w:r>
      <w:r w:rsidR="001D6574" w:rsidRPr="7BBD1B22">
        <w:rPr>
          <w:rFonts w:ascii="Calibri" w:eastAsia="Calibri" w:hAnsi="Calibri" w:cs="Calibri"/>
          <w:i/>
          <w:iCs/>
          <w:color w:val="000000" w:themeColor="text1"/>
        </w:rPr>
        <w:t>Setting up a successful research program</w:t>
      </w:r>
    </w:p>
    <w:p w14:paraId="591C0A00" w14:textId="4E1B9E2E" w:rsidR="00815E83" w:rsidRDefault="6B455DE5" w:rsidP="00815E83">
      <w:pPr>
        <w:spacing w:line="480" w:lineRule="auto"/>
        <w:ind w:firstLine="720"/>
        <w:rPr>
          <w:rFonts w:ascii="Calibri" w:eastAsia="Calibri" w:hAnsi="Calibri" w:cs="Calibri"/>
          <w:color w:val="000000" w:themeColor="text1"/>
        </w:rPr>
      </w:pPr>
      <w:r w:rsidRPr="3904A4FB">
        <w:rPr>
          <w:rFonts w:ascii="Calibri" w:eastAsia="Calibri" w:hAnsi="Calibri" w:cs="Calibri"/>
          <w:color w:val="000000" w:themeColor="text1"/>
        </w:rPr>
        <w:t>“</w:t>
      </w:r>
      <w:r w:rsidR="4523212E" w:rsidRPr="3904A4FB">
        <w:rPr>
          <w:rFonts w:ascii="Calibri" w:eastAsia="Calibri" w:hAnsi="Calibri" w:cs="Calibri"/>
          <w:color w:val="000000" w:themeColor="text1"/>
        </w:rPr>
        <w:t>B</w:t>
      </w:r>
      <w:r w:rsidRPr="3904A4FB">
        <w:rPr>
          <w:rFonts w:ascii="Calibri" w:eastAsia="Calibri" w:hAnsi="Calibri" w:cs="Calibri"/>
          <w:color w:val="000000" w:themeColor="text1"/>
        </w:rPr>
        <w:t>egin</w:t>
      </w:r>
      <w:r w:rsidR="68BD8926" w:rsidRPr="3904A4FB">
        <w:rPr>
          <w:rFonts w:ascii="Calibri" w:eastAsia="Calibri" w:hAnsi="Calibri" w:cs="Calibri"/>
          <w:color w:val="000000" w:themeColor="text1"/>
        </w:rPr>
        <w:t>ning</w:t>
      </w:r>
      <w:r w:rsidRPr="3904A4FB">
        <w:rPr>
          <w:rFonts w:ascii="Calibri" w:eastAsia="Calibri" w:hAnsi="Calibri" w:cs="Calibri"/>
          <w:color w:val="000000" w:themeColor="text1"/>
        </w:rPr>
        <w:t xml:space="preserve"> with the end in mind”</w:t>
      </w:r>
      <w:r w:rsidR="68BD8926" w:rsidRPr="3904A4FB">
        <w:rPr>
          <w:rFonts w:ascii="Calibri" w:eastAsia="Calibri" w:hAnsi="Calibri" w:cs="Calibri"/>
          <w:color w:val="000000" w:themeColor="text1"/>
        </w:rPr>
        <w:t xml:space="preserve"> is important</w:t>
      </w:r>
      <w:r w:rsidR="00BD46EB">
        <w:rPr>
          <w:rFonts w:ascii="Calibri" w:eastAsia="Calibri" w:hAnsi="Calibri" w:cs="Calibri"/>
          <w:color w:val="000000" w:themeColor="text1"/>
        </w:rPr>
        <w:t xml:space="preserve"> in everything we do</w:t>
      </w:r>
      <w:r w:rsidR="68BD8926" w:rsidRPr="3904A4FB">
        <w:rPr>
          <w:rFonts w:ascii="Calibri" w:eastAsia="Calibri" w:hAnsi="Calibri" w:cs="Calibri"/>
          <w:color w:val="000000" w:themeColor="text1"/>
        </w:rPr>
        <w:t>.</w:t>
      </w:r>
      <w:r w:rsidRPr="3904A4FB">
        <w:rPr>
          <w:rFonts w:ascii="Calibri" w:eastAsia="Calibri" w:hAnsi="Calibri" w:cs="Calibri"/>
          <w:color w:val="000000" w:themeColor="text1"/>
        </w:rPr>
        <w:t xml:space="preserve"> Research is no different</w:t>
      </w:r>
      <w:r w:rsidR="00BD46EB">
        <w:rPr>
          <w:rFonts w:ascii="Calibri" w:eastAsia="Calibri" w:hAnsi="Calibri" w:cs="Calibri"/>
          <w:color w:val="000000" w:themeColor="text1"/>
        </w:rPr>
        <w:t>;</w:t>
      </w:r>
      <w:r w:rsidRPr="3904A4FB">
        <w:rPr>
          <w:rFonts w:ascii="Calibri" w:eastAsia="Calibri" w:hAnsi="Calibri" w:cs="Calibri"/>
          <w:color w:val="000000" w:themeColor="text1"/>
        </w:rPr>
        <w:t xml:space="preserve"> </w:t>
      </w:r>
      <w:r w:rsidR="68BD8926" w:rsidRPr="3904A4FB">
        <w:rPr>
          <w:rFonts w:ascii="Calibri" w:eastAsia="Calibri" w:hAnsi="Calibri" w:cs="Calibri"/>
          <w:color w:val="000000" w:themeColor="text1"/>
        </w:rPr>
        <w:t xml:space="preserve">planning and </w:t>
      </w:r>
      <w:r w:rsidRPr="3904A4FB">
        <w:rPr>
          <w:rFonts w:ascii="Calibri" w:eastAsia="Calibri" w:hAnsi="Calibri" w:cs="Calibri"/>
          <w:color w:val="000000" w:themeColor="text1"/>
        </w:rPr>
        <w:t xml:space="preserve">setting up for success can yield a steady pipeline of scholarship and provide valuable experience for trainees at a formative stage in their career. In this section, </w:t>
      </w:r>
      <w:r w:rsidR="6EDD9C55" w:rsidRPr="3904A4FB">
        <w:rPr>
          <w:rFonts w:ascii="Calibri" w:eastAsia="Calibri" w:hAnsi="Calibri" w:cs="Calibri"/>
          <w:color w:val="000000" w:themeColor="text1"/>
        </w:rPr>
        <w:t xml:space="preserve">strategies to overcome common barriers </w:t>
      </w:r>
      <w:r w:rsidRPr="3904A4FB">
        <w:rPr>
          <w:rFonts w:ascii="Calibri" w:eastAsia="Calibri" w:hAnsi="Calibri" w:cs="Calibri"/>
          <w:color w:val="000000" w:themeColor="text1"/>
        </w:rPr>
        <w:t xml:space="preserve">to integrating </w:t>
      </w:r>
      <w:r w:rsidR="4A97D07E" w:rsidRPr="3904A4FB">
        <w:rPr>
          <w:rFonts w:ascii="Calibri" w:eastAsia="Calibri" w:hAnsi="Calibri" w:cs="Calibri"/>
          <w:color w:val="000000" w:themeColor="text1"/>
        </w:rPr>
        <w:t>learner</w:t>
      </w:r>
      <w:r w:rsidRPr="3904A4FB">
        <w:rPr>
          <w:rFonts w:ascii="Calibri" w:eastAsia="Calibri" w:hAnsi="Calibri" w:cs="Calibri"/>
          <w:color w:val="000000" w:themeColor="text1"/>
        </w:rPr>
        <w:t xml:space="preserve">s into research and </w:t>
      </w:r>
      <w:r w:rsidR="6EDD9C55" w:rsidRPr="3904A4FB">
        <w:rPr>
          <w:rFonts w:ascii="Calibri" w:eastAsia="Calibri" w:hAnsi="Calibri" w:cs="Calibri"/>
          <w:color w:val="000000" w:themeColor="text1"/>
        </w:rPr>
        <w:t>QI projects</w:t>
      </w:r>
      <w:r w:rsidR="68BD8926" w:rsidRPr="3904A4FB">
        <w:rPr>
          <w:rFonts w:ascii="Calibri" w:eastAsia="Calibri" w:hAnsi="Calibri" w:cs="Calibri"/>
          <w:color w:val="000000" w:themeColor="text1"/>
        </w:rPr>
        <w:t xml:space="preserve"> are discussed</w:t>
      </w:r>
      <w:r w:rsidR="6EDD9C55" w:rsidRPr="3904A4FB">
        <w:rPr>
          <w:rFonts w:ascii="Calibri" w:eastAsia="Calibri" w:hAnsi="Calibri" w:cs="Calibri"/>
          <w:color w:val="000000" w:themeColor="text1"/>
        </w:rPr>
        <w:t>.</w:t>
      </w:r>
      <w:r w:rsidRPr="3904A4FB">
        <w:rPr>
          <w:rFonts w:ascii="Calibri" w:eastAsia="Calibri" w:hAnsi="Calibri" w:cs="Calibri"/>
          <w:color w:val="000000" w:themeColor="text1"/>
        </w:rPr>
        <w:t xml:space="preserve"> </w:t>
      </w:r>
    </w:p>
    <w:p w14:paraId="11CFCF46" w14:textId="00757D3E" w:rsidR="00815E83" w:rsidRDefault="6B455DE5" w:rsidP="00815E83">
      <w:pPr>
        <w:spacing w:line="480" w:lineRule="auto"/>
        <w:ind w:firstLine="720"/>
        <w:rPr>
          <w:rFonts w:ascii="Calibri" w:eastAsia="Calibri" w:hAnsi="Calibri" w:cs="Calibri"/>
          <w:color w:val="000000" w:themeColor="text1"/>
        </w:rPr>
      </w:pPr>
      <w:r w:rsidRPr="3904A4FB">
        <w:rPr>
          <w:rFonts w:ascii="Calibri" w:eastAsia="Calibri" w:hAnsi="Calibri" w:cs="Calibri"/>
          <w:color w:val="000000" w:themeColor="text1"/>
        </w:rPr>
        <w:t>Research can be intimidating for any beginner. A concatenation of pressure to excel, other commitments, and limited research experience can create a stressful experience and prohibit interest in research.</w:t>
      </w:r>
      <w:r w:rsidR="00BE5025" w:rsidRPr="00BE5025">
        <w:rPr>
          <w:rFonts w:ascii="Calibri" w:eastAsia="Calibri" w:hAnsi="Calibri" w:cs="Calibri"/>
          <w:color w:val="000000" w:themeColor="text1"/>
          <w:vertAlign w:val="superscript"/>
        </w:rPr>
        <w:t>15</w:t>
      </w:r>
      <w:r w:rsidRPr="3904A4FB">
        <w:rPr>
          <w:rFonts w:ascii="Calibri" w:eastAsia="Calibri" w:hAnsi="Calibri" w:cs="Calibri"/>
          <w:color w:val="000000" w:themeColor="text1"/>
        </w:rPr>
        <w:t xml:space="preserve"> This can be mitigated by </w:t>
      </w:r>
      <w:r w:rsidR="117EE307" w:rsidRPr="3904A4FB">
        <w:rPr>
          <w:rFonts w:ascii="Calibri" w:eastAsia="Calibri" w:hAnsi="Calibri" w:cs="Calibri"/>
          <w:color w:val="000000" w:themeColor="text1"/>
        </w:rPr>
        <w:t>developing formalized research</w:t>
      </w:r>
      <w:r w:rsidRPr="3904A4FB">
        <w:rPr>
          <w:rFonts w:ascii="Calibri" w:eastAsia="Calibri" w:hAnsi="Calibri" w:cs="Calibri"/>
          <w:color w:val="000000" w:themeColor="text1"/>
        </w:rPr>
        <w:t xml:space="preserve"> training program</w:t>
      </w:r>
      <w:r w:rsidR="0D05521C" w:rsidRPr="3904A4FB">
        <w:rPr>
          <w:rFonts w:ascii="Calibri" w:eastAsia="Calibri" w:hAnsi="Calibri" w:cs="Calibri"/>
          <w:color w:val="000000" w:themeColor="text1"/>
        </w:rPr>
        <w:t>s</w:t>
      </w:r>
      <w:r w:rsidRPr="3904A4FB">
        <w:rPr>
          <w:rFonts w:ascii="Calibri" w:eastAsia="Calibri" w:hAnsi="Calibri" w:cs="Calibri"/>
          <w:color w:val="000000" w:themeColor="text1"/>
        </w:rPr>
        <w:t xml:space="preserve">, </w:t>
      </w:r>
      <w:r w:rsidR="0D05521C" w:rsidRPr="3904A4FB">
        <w:rPr>
          <w:rFonts w:ascii="Calibri" w:eastAsia="Calibri" w:hAnsi="Calibri" w:cs="Calibri"/>
          <w:color w:val="000000" w:themeColor="text1"/>
        </w:rPr>
        <w:t xml:space="preserve">setting </w:t>
      </w:r>
      <w:r w:rsidRPr="3904A4FB">
        <w:rPr>
          <w:rFonts w:ascii="Calibri" w:eastAsia="Calibri" w:hAnsi="Calibri" w:cs="Calibri"/>
          <w:color w:val="000000" w:themeColor="text1"/>
        </w:rPr>
        <w:t>clear research plan</w:t>
      </w:r>
      <w:r w:rsidR="0D05521C" w:rsidRPr="3904A4FB">
        <w:rPr>
          <w:rFonts w:ascii="Calibri" w:eastAsia="Calibri" w:hAnsi="Calibri" w:cs="Calibri"/>
          <w:color w:val="000000" w:themeColor="text1"/>
        </w:rPr>
        <w:t>s and expectations</w:t>
      </w:r>
      <w:r w:rsidRPr="3904A4FB">
        <w:rPr>
          <w:rFonts w:ascii="Calibri" w:eastAsia="Calibri" w:hAnsi="Calibri" w:cs="Calibri"/>
          <w:color w:val="000000" w:themeColor="text1"/>
        </w:rPr>
        <w:t xml:space="preserve">, </w:t>
      </w:r>
      <w:r w:rsidR="0D05521C" w:rsidRPr="3904A4FB">
        <w:rPr>
          <w:rFonts w:ascii="Calibri" w:eastAsia="Calibri" w:hAnsi="Calibri" w:cs="Calibri"/>
          <w:color w:val="000000" w:themeColor="text1"/>
        </w:rPr>
        <w:t xml:space="preserve">instituting </w:t>
      </w:r>
      <w:r w:rsidRPr="3904A4FB">
        <w:rPr>
          <w:rFonts w:ascii="Calibri" w:eastAsia="Calibri" w:hAnsi="Calibri" w:cs="Calibri"/>
          <w:color w:val="000000" w:themeColor="text1"/>
        </w:rPr>
        <w:t>research contract</w:t>
      </w:r>
      <w:r w:rsidR="0D05521C" w:rsidRPr="3904A4FB">
        <w:rPr>
          <w:rFonts w:ascii="Calibri" w:eastAsia="Calibri" w:hAnsi="Calibri" w:cs="Calibri"/>
          <w:color w:val="000000" w:themeColor="text1"/>
        </w:rPr>
        <w:t>s</w:t>
      </w:r>
      <w:r w:rsidRPr="3904A4FB">
        <w:rPr>
          <w:rFonts w:ascii="Calibri" w:eastAsia="Calibri" w:hAnsi="Calibri" w:cs="Calibri"/>
          <w:color w:val="000000" w:themeColor="text1"/>
        </w:rPr>
        <w:t>, and</w:t>
      </w:r>
      <w:r w:rsidR="0D05521C" w:rsidRPr="3904A4FB">
        <w:rPr>
          <w:rFonts w:ascii="Calibri" w:eastAsia="Calibri" w:hAnsi="Calibri" w:cs="Calibri"/>
          <w:color w:val="000000" w:themeColor="text1"/>
        </w:rPr>
        <w:t xml:space="preserve"> having</w:t>
      </w:r>
      <w:r w:rsidRPr="3904A4FB">
        <w:rPr>
          <w:rFonts w:ascii="Calibri" w:eastAsia="Calibri" w:hAnsi="Calibri" w:cs="Calibri"/>
          <w:color w:val="000000" w:themeColor="text1"/>
        </w:rPr>
        <w:t xml:space="preserve"> detailed project onboarding process</w:t>
      </w:r>
      <w:r w:rsidR="0D05521C" w:rsidRPr="3904A4FB">
        <w:rPr>
          <w:rFonts w:ascii="Calibri" w:eastAsia="Calibri" w:hAnsi="Calibri" w:cs="Calibri"/>
          <w:color w:val="000000" w:themeColor="text1"/>
        </w:rPr>
        <w:t>es</w:t>
      </w:r>
      <w:r w:rsidRPr="3904A4FB">
        <w:rPr>
          <w:rFonts w:ascii="Calibri" w:eastAsia="Calibri" w:hAnsi="Calibri" w:cs="Calibri"/>
          <w:color w:val="000000" w:themeColor="text1"/>
        </w:rPr>
        <w:t>.</w:t>
      </w:r>
      <w:r w:rsidR="00BE5025" w:rsidRPr="00BE5025">
        <w:rPr>
          <w:rFonts w:ascii="Calibri" w:eastAsia="Calibri" w:hAnsi="Calibri" w:cs="Calibri"/>
          <w:color w:val="000000" w:themeColor="text1"/>
          <w:vertAlign w:val="superscript"/>
        </w:rPr>
        <w:t>13,41</w:t>
      </w:r>
      <w:r w:rsidRPr="3904A4FB">
        <w:rPr>
          <w:rFonts w:ascii="Calibri" w:eastAsia="Calibri" w:hAnsi="Calibri" w:cs="Calibri"/>
          <w:color w:val="000000" w:themeColor="text1"/>
        </w:rPr>
        <w:t xml:space="preserve"> Training programs, such as the 12-week summer program described by Brandl, et al., yielded more </w:t>
      </w:r>
      <w:r w:rsidR="0D05521C" w:rsidRPr="3904A4FB">
        <w:rPr>
          <w:rFonts w:ascii="Calibri" w:eastAsia="Calibri" w:hAnsi="Calibri" w:cs="Calibri"/>
          <w:color w:val="000000" w:themeColor="text1"/>
        </w:rPr>
        <w:t xml:space="preserve">published </w:t>
      </w:r>
      <w:r w:rsidRPr="3904A4FB">
        <w:rPr>
          <w:rFonts w:ascii="Calibri" w:eastAsia="Calibri" w:hAnsi="Calibri" w:cs="Calibri"/>
          <w:color w:val="000000" w:themeColor="text1"/>
        </w:rPr>
        <w:t>full text manuscripts and abstracts.</w:t>
      </w:r>
      <w:r w:rsidR="00BE5025" w:rsidRPr="00BE5025">
        <w:rPr>
          <w:rFonts w:ascii="Calibri" w:eastAsia="Calibri" w:hAnsi="Calibri" w:cs="Calibri"/>
          <w:color w:val="000000" w:themeColor="text1"/>
          <w:vertAlign w:val="superscript"/>
        </w:rPr>
        <w:t>41</w:t>
      </w:r>
      <w:r w:rsidRPr="3904A4FB">
        <w:rPr>
          <w:rFonts w:ascii="Calibri" w:eastAsia="Calibri" w:hAnsi="Calibri" w:cs="Calibri"/>
          <w:color w:val="000000" w:themeColor="text1"/>
        </w:rPr>
        <w:t xml:space="preserve"> Other considerations in setting up a </w:t>
      </w:r>
      <w:r w:rsidR="68F65907" w:rsidRPr="3904A4FB">
        <w:rPr>
          <w:rFonts w:ascii="Calibri" w:eastAsia="Calibri" w:hAnsi="Calibri" w:cs="Calibri"/>
          <w:color w:val="000000" w:themeColor="text1"/>
        </w:rPr>
        <w:t>learner</w:t>
      </w:r>
      <w:r w:rsidRPr="3904A4FB">
        <w:rPr>
          <w:rFonts w:ascii="Calibri" w:eastAsia="Calibri" w:hAnsi="Calibri" w:cs="Calibri"/>
          <w:color w:val="000000" w:themeColor="text1"/>
        </w:rPr>
        <w:t xml:space="preserve"> research program </w:t>
      </w:r>
      <w:r w:rsidR="0F3A22E4" w:rsidRPr="3904A4FB">
        <w:rPr>
          <w:rFonts w:ascii="Calibri" w:eastAsia="Calibri" w:hAnsi="Calibri" w:cs="Calibri"/>
          <w:color w:val="000000" w:themeColor="text1"/>
        </w:rPr>
        <w:t>include</w:t>
      </w:r>
      <w:r w:rsidRPr="3904A4FB">
        <w:rPr>
          <w:rFonts w:ascii="Calibri" w:eastAsia="Calibri" w:hAnsi="Calibri" w:cs="Calibri"/>
          <w:color w:val="000000" w:themeColor="text1"/>
        </w:rPr>
        <w:t xml:space="preserve"> setting standards for what </w:t>
      </w:r>
      <w:r w:rsidR="00BD46EB" w:rsidRPr="3904A4FB">
        <w:rPr>
          <w:rFonts w:ascii="Calibri" w:eastAsia="Calibri" w:hAnsi="Calibri" w:cs="Calibri"/>
          <w:color w:val="000000" w:themeColor="text1"/>
        </w:rPr>
        <w:t>t</w:t>
      </w:r>
      <w:r w:rsidR="00BD46EB">
        <w:rPr>
          <w:rFonts w:ascii="Calibri" w:eastAsia="Calibri" w:hAnsi="Calibri" w:cs="Calibri"/>
          <w:color w:val="000000" w:themeColor="text1"/>
        </w:rPr>
        <w:t>hey</w:t>
      </w:r>
      <w:r w:rsidR="00BD46EB" w:rsidRPr="3904A4FB">
        <w:rPr>
          <w:rFonts w:ascii="Calibri" w:eastAsia="Calibri" w:hAnsi="Calibri" w:cs="Calibri"/>
          <w:color w:val="000000" w:themeColor="text1"/>
        </w:rPr>
        <w:t xml:space="preserve"> </w:t>
      </w:r>
      <w:r w:rsidRPr="3904A4FB">
        <w:rPr>
          <w:rFonts w:ascii="Calibri" w:eastAsia="Calibri" w:hAnsi="Calibri" w:cs="Calibri"/>
          <w:color w:val="000000" w:themeColor="text1"/>
        </w:rPr>
        <w:t xml:space="preserve">should have completed prior to engaging in the research process. Examples include having completed </w:t>
      </w:r>
      <w:r w:rsidR="50E4CBB8" w:rsidRPr="3904A4FB">
        <w:rPr>
          <w:rFonts w:ascii="Calibri" w:eastAsia="Calibri" w:hAnsi="Calibri" w:cs="Calibri"/>
          <w:color w:val="000000" w:themeColor="text1"/>
        </w:rPr>
        <w:t xml:space="preserve">human </w:t>
      </w:r>
      <w:r w:rsidR="117EE307" w:rsidRPr="3904A4FB">
        <w:rPr>
          <w:rFonts w:ascii="Calibri" w:eastAsia="Calibri" w:hAnsi="Calibri" w:cs="Calibri"/>
          <w:color w:val="000000" w:themeColor="text1"/>
        </w:rPr>
        <w:t xml:space="preserve">subjects </w:t>
      </w:r>
      <w:r w:rsidR="50E4CBB8" w:rsidRPr="3904A4FB">
        <w:rPr>
          <w:rFonts w:ascii="Calibri" w:eastAsia="Calibri" w:hAnsi="Calibri" w:cs="Calibri"/>
          <w:color w:val="000000" w:themeColor="text1"/>
        </w:rPr>
        <w:t>research</w:t>
      </w:r>
      <w:r w:rsidRPr="3904A4FB">
        <w:rPr>
          <w:rFonts w:ascii="Calibri" w:eastAsia="Calibri" w:hAnsi="Calibri" w:cs="Calibri"/>
          <w:color w:val="000000" w:themeColor="text1"/>
        </w:rPr>
        <w:t xml:space="preserve"> training, </w:t>
      </w:r>
      <w:r w:rsidR="117EE307" w:rsidRPr="3904A4FB">
        <w:rPr>
          <w:rFonts w:ascii="Calibri" w:eastAsia="Calibri" w:hAnsi="Calibri" w:cs="Calibri"/>
          <w:color w:val="000000" w:themeColor="text1"/>
        </w:rPr>
        <w:t>describing prior</w:t>
      </w:r>
      <w:r w:rsidRPr="3904A4FB">
        <w:rPr>
          <w:rFonts w:ascii="Calibri" w:eastAsia="Calibri" w:hAnsi="Calibri" w:cs="Calibri"/>
          <w:color w:val="000000" w:themeColor="text1"/>
        </w:rPr>
        <w:t xml:space="preserve"> research</w:t>
      </w:r>
      <w:r w:rsidR="117EE307" w:rsidRPr="3904A4FB">
        <w:rPr>
          <w:rFonts w:ascii="Calibri" w:eastAsia="Calibri" w:hAnsi="Calibri" w:cs="Calibri"/>
          <w:color w:val="000000" w:themeColor="text1"/>
        </w:rPr>
        <w:t xml:space="preserve"> or project</w:t>
      </w:r>
      <w:r w:rsidRPr="3904A4FB">
        <w:rPr>
          <w:rFonts w:ascii="Calibri" w:eastAsia="Calibri" w:hAnsi="Calibri" w:cs="Calibri"/>
          <w:color w:val="000000" w:themeColor="text1"/>
        </w:rPr>
        <w:t xml:space="preserve"> </w:t>
      </w:r>
      <w:r w:rsidR="117EE307" w:rsidRPr="3904A4FB">
        <w:rPr>
          <w:rFonts w:ascii="Calibri" w:eastAsia="Calibri" w:hAnsi="Calibri" w:cs="Calibri"/>
          <w:color w:val="000000" w:themeColor="text1"/>
        </w:rPr>
        <w:t>experience</w:t>
      </w:r>
      <w:r w:rsidRPr="3904A4FB">
        <w:rPr>
          <w:rFonts w:ascii="Calibri" w:eastAsia="Calibri" w:hAnsi="Calibri" w:cs="Calibri"/>
          <w:color w:val="000000" w:themeColor="text1"/>
        </w:rPr>
        <w:t xml:space="preserve">, or submitting a writing sample. Additional accountability can be built in through the development of a formalized research contract, including outlining the roles and responsibilities of the </w:t>
      </w:r>
      <w:r w:rsidR="7ECCD1E5" w:rsidRPr="3904A4FB">
        <w:rPr>
          <w:rFonts w:ascii="Calibri" w:eastAsia="Calibri" w:hAnsi="Calibri" w:cs="Calibri"/>
          <w:color w:val="000000" w:themeColor="text1"/>
        </w:rPr>
        <w:t>mentor(s)</w:t>
      </w:r>
      <w:r w:rsidRPr="3904A4FB">
        <w:rPr>
          <w:rFonts w:ascii="Calibri" w:eastAsia="Calibri" w:hAnsi="Calibri" w:cs="Calibri"/>
          <w:color w:val="000000" w:themeColor="text1"/>
        </w:rPr>
        <w:t xml:space="preserve"> and </w:t>
      </w:r>
      <w:r w:rsidR="7D1A5045" w:rsidRPr="3904A4FB">
        <w:rPr>
          <w:rFonts w:ascii="Calibri" w:eastAsia="Calibri" w:hAnsi="Calibri" w:cs="Calibri"/>
          <w:color w:val="000000" w:themeColor="text1"/>
        </w:rPr>
        <w:t>learner</w:t>
      </w:r>
      <w:r w:rsidRPr="3904A4FB">
        <w:rPr>
          <w:rFonts w:ascii="Calibri" w:eastAsia="Calibri" w:hAnsi="Calibri" w:cs="Calibri"/>
          <w:color w:val="000000" w:themeColor="text1"/>
        </w:rPr>
        <w:t xml:space="preserve">(s), authorship order, </w:t>
      </w:r>
      <w:r w:rsidR="00F133C9">
        <w:rPr>
          <w:rFonts w:ascii="Calibri" w:eastAsia="Calibri" w:hAnsi="Calibri" w:cs="Calibri"/>
          <w:color w:val="000000" w:themeColor="text1"/>
        </w:rPr>
        <w:t xml:space="preserve">objectives, </w:t>
      </w:r>
      <w:r w:rsidRPr="3904A4FB">
        <w:rPr>
          <w:rFonts w:ascii="Calibri" w:eastAsia="Calibri" w:hAnsi="Calibri" w:cs="Calibri"/>
          <w:color w:val="000000" w:themeColor="text1"/>
        </w:rPr>
        <w:t xml:space="preserve">expectations for drafts, </w:t>
      </w:r>
      <w:r w:rsidR="15CA1034" w:rsidRPr="3904A4FB">
        <w:rPr>
          <w:rFonts w:ascii="Calibri" w:eastAsia="Calibri" w:hAnsi="Calibri" w:cs="Calibri"/>
          <w:color w:val="000000" w:themeColor="text1"/>
        </w:rPr>
        <w:t xml:space="preserve">deadlines, </w:t>
      </w:r>
      <w:r w:rsidRPr="3904A4FB">
        <w:rPr>
          <w:rFonts w:ascii="Calibri" w:eastAsia="Calibri" w:hAnsi="Calibri" w:cs="Calibri"/>
          <w:color w:val="000000" w:themeColor="text1"/>
        </w:rPr>
        <w:t xml:space="preserve">and more, all to be mutually agreed upon by the </w:t>
      </w:r>
      <w:r w:rsidR="5A963D01" w:rsidRPr="3904A4FB">
        <w:rPr>
          <w:rFonts w:ascii="Calibri" w:eastAsia="Calibri" w:hAnsi="Calibri" w:cs="Calibri"/>
          <w:color w:val="000000" w:themeColor="text1"/>
        </w:rPr>
        <w:t>study investigators</w:t>
      </w:r>
      <w:r w:rsidRPr="3904A4FB">
        <w:rPr>
          <w:rFonts w:ascii="Calibri" w:eastAsia="Calibri" w:hAnsi="Calibri" w:cs="Calibri"/>
          <w:color w:val="000000" w:themeColor="text1"/>
        </w:rPr>
        <w:t>.</w:t>
      </w:r>
    </w:p>
    <w:p w14:paraId="773FFDE5" w14:textId="0E637468" w:rsidR="00815E83" w:rsidRDefault="6B455DE5" w:rsidP="00815E83">
      <w:pPr>
        <w:spacing w:line="480" w:lineRule="auto"/>
        <w:ind w:firstLine="720"/>
        <w:rPr>
          <w:rFonts w:ascii="Calibri" w:eastAsia="Calibri" w:hAnsi="Calibri" w:cs="Calibri"/>
          <w:color w:val="000000" w:themeColor="text1"/>
        </w:rPr>
      </w:pPr>
      <w:r w:rsidRPr="3904A4FB">
        <w:rPr>
          <w:rFonts w:ascii="Calibri" w:eastAsia="Calibri" w:hAnsi="Calibri" w:cs="Calibri"/>
          <w:color w:val="000000" w:themeColor="text1"/>
        </w:rPr>
        <w:t xml:space="preserve">Investing the time and energy up front can prevent countless errors downstream. However, it is also important to engage in all steps of the research process. Regular check-ins set up an investment in their development and diminish the power dynamic between you and the </w:t>
      </w:r>
      <w:r w:rsidR="23B3CAD3" w:rsidRPr="3904A4FB">
        <w:rPr>
          <w:rFonts w:ascii="Calibri" w:eastAsia="Calibri" w:hAnsi="Calibri" w:cs="Calibri"/>
          <w:color w:val="000000" w:themeColor="text1"/>
        </w:rPr>
        <w:t>learner</w:t>
      </w:r>
      <w:r w:rsidRPr="3904A4FB">
        <w:rPr>
          <w:rFonts w:ascii="Calibri" w:eastAsia="Calibri" w:hAnsi="Calibri" w:cs="Calibri"/>
          <w:color w:val="000000" w:themeColor="text1"/>
        </w:rPr>
        <w:t>. Importantly, a shared mutual respect for all team members</w:t>
      </w:r>
      <w:r w:rsidR="00BD46EB">
        <w:rPr>
          <w:rFonts w:ascii="Calibri" w:eastAsia="Calibri" w:hAnsi="Calibri" w:cs="Calibri"/>
          <w:color w:val="000000" w:themeColor="text1"/>
        </w:rPr>
        <w:t>’</w:t>
      </w:r>
      <w:r w:rsidRPr="3904A4FB">
        <w:rPr>
          <w:rFonts w:ascii="Calibri" w:eastAsia="Calibri" w:hAnsi="Calibri" w:cs="Calibri"/>
          <w:color w:val="000000" w:themeColor="text1"/>
        </w:rPr>
        <w:t xml:space="preserve"> time and energy is key. </w:t>
      </w:r>
      <w:r w:rsidR="5F8BC103" w:rsidRPr="3904A4FB">
        <w:rPr>
          <w:rFonts w:ascii="Calibri" w:eastAsia="Calibri" w:hAnsi="Calibri" w:cs="Calibri"/>
          <w:color w:val="000000" w:themeColor="text1"/>
        </w:rPr>
        <w:t>Learner</w:t>
      </w:r>
      <w:r w:rsidRPr="3904A4FB">
        <w:rPr>
          <w:rFonts w:ascii="Calibri" w:eastAsia="Calibri" w:hAnsi="Calibri" w:cs="Calibri"/>
          <w:color w:val="000000" w:themeColor="text1"/>
        </w:rPr>
        <w:t xml:space="preserve">s should be expected to produce </w:t>
      </w:r>
      <w:r w:rsidRPr="3904A4FB">
        <w:rPr>
          <w:rFonts w:ascii="Calibri" w:eastAsia="Calibri" w:hAnsi="Calibri" w:cs="Calibri"/>
          <w:color w:val="000000" w:themeColor="text1"/>
        </w:rPr>
        <w:lastRenderedPageBreak/>
        <w:t>high</w:t>
      </w:r>
      <w:r w:rsidR="00F06C36">
        <w:rPr>
          <w:rFonts w:ascii="Calibri" w:eastAsia="Calibri" w:hAnsi="Calibri" w:cs="Calibri"/>
          <w:color w:val="000000" w:themeColor="text1"/>
        </w:rPr>
        <w:t>-</w:t>
      </w:r>
      <w:r w:rsidRPr="3904A4FB">
        <w:rPr>
          <w:rFonts w:ascii="Calibri" w:eastAsia="Calibri" w:hAnsi="Calibri" w:cs="Calibri"/>
          <w:color w:val="000000" w:themeColor="text1"/>
        </w:rPr>
        <w:t xml:space="preserve">quality drafts, </w:t>
      </w:r>
      <w:r w:rsidR="6F2001BA" w:rsidRPr="3904A4FB">
        <w:rPr>
          <w:rFonts w:ascii="Calibri" w:eastAsia="Calibri" w:hAnsi="Calibri" w:cs="Calibri"/>
          <w:color w:val="000000" w:themeColor="text1"/>
        </w:rPr>
        <w:t>be</w:t>
      </w:r>
      <w:r w:rsidRPr="3904A4FB">
        <w:rPr>
          <w:rFonts w:ascii="Calibri" w:eastAsia="Calibri" w:hAnsi="Calibri" w:cs="Calibri"/>
          <w:color w:val="000000" w:themeColor="text1"/>
        </w:rPr>
        <w:t xml:space="preserve"> prepared </w:t>
      </w:r>
      <w:r w:rsidR="724A91EE" w:rsidRPr="3904A4FB">
        <w:rPr>
          <w:rFonts w:ascii="Calibri" w:eastAsia="Calibri" w:hAnsi="Calibri" w:cs="Calibri"/>
          <w:color w:val="000000" w:themeColor="text1"/>
        </w:rPr>
        <w:t>for</w:t>
      </w:r>
      <w:r w:rsidRPr="3904A4FB">
        <w:rPr>
          <w:rFonts w:ascii="Calibri" w:eastAsia="Calibri" w:hAnsi="Calibri" w:cs="Calibri"/>
          <w:color w:val="000000" w:themeColor="text1"/>
        </w:rPr>
        <w:t xml:space="preserve"> meetings, and </w:t>
      </w:r>
      <w:r w:rsidR="3A0259EF" w:rsidRPr="3904A4FB">
        <w:rPr>
          <w:rFonts w:ascii="Calibri" w:eastAsia="Calibri" w:hAnsi="Calibri" w:cs="Calibri"/>
          <w:color w:val="000000" w:themeColor="text1"/>
        </w:rPr>
        <w:t xml:space="preserve">be </w:t>
      </w:r>
      <w:r w:rsidRPr="3904A4FB">
        <w:rPr>
          <w:rFonts w:ascii="Calibri" w:eastAsia="Calibri" w:hAnsi="Calibri" w:cs="Calibri"/>
          <w:color w:val="000000" w:themeColor="text1"/>
        </w:rPr>
        <w:t xml:space="preserve">held accountable for their work. Likewise, the </w:t>
      </w:r>
      <w:r w:rsidR="35311E3B" w:rsidRPr="3904A4FB">
        <w:rPr>
          <w:rFonts w:ascii="Calibri" w:eastAsia="Calibri" w:hAnsi="Calibri" w:cs="Calibri"/>
          <w:color w:val="000000" w:themeColor="text1"/>
        </w:rPr>
        <w:t>mentor</w:t>
      </w:r>
      <w:r w:rsidRPr="3904A4FB">
        <w:rPr>
          <w:rFonts w:ascii="Calibri" w:eastAsia="Calibri" w:hAnsi="Calibri" w:cs="Calibri"/>
          <w:color w:val="000000" w:themeColor="text1"/>
        </w:rPr>
        <w:t xml:space="preserve">s should spend </w:t>
      </w:r>
      <w:r w:rsidR="00BD46EB">
        <w:rPr>
          <w:rFonts w:ascii="Calibri" w:eastAsia="Calibri" w:hAnsi="Calibri" w:cs="Calibri"/>
          <w:color w:val="000000" w:themeColor="text1"/>
        </w:rPr>
        <w:t xml:space="preserve">sufficient </w:t>
      </w:r>
      <w:r w:rsidRPr="3904A4FB">
        <w:rPr>
          <w:rFonts w:ascii="Calibri" w:eastAsia="Calibri" w:hAnsi="Calibri" w:cs="Calibri"/>
          <w:color w:val="000000" w:themeColor="text1"/>
        </w:rPr>
        <w:t>time reviewing drafts</w:t>
      </w:r>
      <w:r w:rsidR="65F25767" w:rsidRPr="3904A4FB">
        <w:rPr>
          <w:rFonts w:ascii="Calibri" w:eastAsia="Calibri" w:hAnsi="Calibri" w:cs="Calibri"/>
          <w:color w:val="000000" w:themeColor="text1"/>
        </w:rPr>
        <w:t xml:space="preserve">, </w:t>
      </w:r>
      <w:r w:rsidRPr="3904A4FB">
        <w:rPr>
          <w:rFonts w:ascii="Calibri" w:eastAsia="Calibri" w:hAnsi="Calibri" w:cs="Calibri"/>
          <w:color w:val="000000" w:themeColor="text1"/>
        </w:rPr>
        <w:t xml:space="preserve">provide detailed feedback, review research status prior to meetings, and lead by example in deadline adherence and </w:t>
      </w:r>
      <w:r w:rsidR="00F06C36" w:rsidRPr="3904A4FB">
        <w:rPr>
          <w:rFonts w:ascii="Calibri" w:eastAsia="Calibri" w:hAnsi="Calibri" w:cs="Calibri"/>
          <w:color w:val="000000" w:themeColor="text1"/>
        </w:rPr>
        <w:t>high</w:t>
      </w:r>
      <w:r w:rsidR="00F06C36">
        <w:rPr>
          <w:rFonts w:ascii="Calibri" w:eastAsia="Calibri" w:hAnsi="Calibri" w:cs="Calibri"/>
          <w:color w:val="000000" w:themeColor="text1"/>
        </w:rPr>
        <w:t>-quality</w:t>
      </w:r>
      <w:r w:rsidRPr="3904A4FB">
        <w:rPr>
          <w:rFonts w:ascii="Calibri" w:eastAsia="Calibri" w:hAnsi="Calibri" w:cs="Calibri"/>
          <w:color w:val="000000" w:themeColor="text1"/>
        </w:rPr>
        <w:t xml:space="preserve"> work. As </w:t>
      </w:r>
      <w:r w:rsidR="3A0259EF" w:rsidRPr="3904A4FB">
        <w:rPr>
          <w:rFonts w:ascii="Calibri" w:eastAsia="Calibri" w:hAnsi="Calibri" w:cs="Calibri"/>
          <w:color w:val="000000" w:themeColor="text1"/>
        </w:rPr>
        <w:t xml:space="preserve">mentors </w:t>
      </w:r>
      <w:r w:rsidRPr="3904A4FB">
        <w:rPr>
          <w:rFonts w:ascii="Calibri" w:eastAsia="Calibri" w:hAnsi="Calibri" w:cs="Calibri"/>
          <w:color w:val="000000" w:themeColor="text1"/>
        </w:rPr>
        <w:t>lead research effort</w:t>
      </w:r>
      <w:r w:rsidR="3A0259EF" w:rsidRPr="3904A4FB">
        <w:rPr>
          <w:rFonts w:ascii="Calibri" w:eastAsia="Calibri" w:hAnsi="Calibri" w:cs="Calibri"/>
          <w:color w:val="000000" w:themeColor="text1"/>
        </w:rPr>
        <w:t>s</w:t>
      </w:r>
      <w:r w:rsidRPr="3904A4FB">
        <w:rPr>
          <w:rFonts w:ascii="Calibri" w:eastAsia="Calibri" w:hAnsi="Calibri" w:cs="Calibri"/>
          <w:color w:val="000000" w:themeColor="text1"/>
        </w:rPr>
        <w:t xml:space="preserve">, especially if longitudinal, </w:t>
      </w:r>
      <w:r w:rsidR="3A0259EF" w:rsidRPr="3904A4FB">
        <w:rPr>
          <w:rFonts w:ascii="Calibri" w:eastAsia="Calibri" w:hAnsi="Calibri" w:cs="Calibri"/>
          <w:color w:val="000000" w:themeColor="text1"/>
        </w:rPr>
        <w:t xml:space="preserve">it is important to </w:t>
      </w:r>
      <w:r w:rsidRPr="3904A4FB">
        <w:rPr>
          <w:rFonts w:ascii="Calibri" w:eastAsia="Calibri" w:hAnsi="Calibri" w:cs="Calibri"/>
          <w:color w:val="000000" w:themeColor="text1"/>
        </w:rPr>
        <w:t xml:space="preserve">consider setting deadlines and milestones in conjunction with </w:t>
      </w:r>
      <w:r w:rsidR="00F06C36">
        <w:rPr>
          <w:rFonts w:ascii="Calibri" w:eastAsia="Calibri" w:hAnsi="Calibri" w:cs="Calibri"/>
          <w:color w:val="000000" w:themeColor="text1"/>
        </w:rPr>
        <w:t>learners</w:t>
      </w:r>
      <w:r w:rsidR="00F06C36" w:rsidRPr="3904A4FB">
        <w:rPr>
          <w:rFonts w:ascii="Calibri" w:eastAsia="Calibri" w:hAnsi="Calibri" w:cs="Calibri"/>
          <w:color w:val="000000" w:themeColor="text1"/>
        </w:rPr>
        <w:t xml:space="preserve"> </w:t>
      </w:r>
      <w:r w:rsidRPr="3904A4FB">
        <w:rPr>
          <w:rFonts w:ascii="Calibri" w:eastAsia="Calibri" w:hAnsi="Calibri" w:cs="Calibri"/>
          <w:color w:val="000000" w:themeColor="text1"/>
        </w:rPr>
        <w:t xml:space="preserve">which work well for </w:t>
      </w:r>
      <w:r w:rsidR="3A0259EF" w:rsidRPr="3904A4FB">
        <w:rPr>
          <w:rFonts w:ascii="Calibri" w:eastAsia="Calibri" w:hAnsi="Calibri" w:cs="Calibri"/>
          <w:color w:val="000000" w:themeColor="text1"/>
        </w:rPr>
        <w:t>everyone’s</w:t>
      </w:r>
      <w:r w:rsidRPr="3904A4FB">
        <w:rPr>
          <w:rFonts w:ascii="Calibri" w:eastAsia="Calibri" w:hAnsi="Calibri" w:cs="Calibri"/>
          <w:color w:val="000000" w:themeColor="text1"/>
        </w:rPr>
        <w:t xml:space="preserve"> schedule. </w:t>
      </w:r>
      <w:r w:rsidR="6F2001BA" w:rsidRPr="3904A4FB">
        <w:rPr>
          <w:rFonts w:ascii="Calibri" w:eastAsia="Calibri" w:hAnsi="Calibri" w:cs="Calibri"/>
          <w:color w:val="000000" w:themeColor="text1"/>
        </w:rPr>
        <w:t>For example, i</w:t>
      </w:r>
      <w:r w:rsidRPr="3904A4FB">
        <w:rPr>
          <w:rFonts w:ascii="Calibri" w:eastAsia="Calibri" w:hAnsi="Calibri" w:cs="Calibri"/>
          <w:color w:val="000000" w:themeColor="text1"/>
        </w:rPr>
        <w:t xml:space="preserve">f </w:t>
      </w:r>
      <w:r w:rsidR="3A0259EF" w:rsidRPr="3904A4FB">
        <w:rPr>
          <w:rFonts w:ascii="Calibri" w:eastAsia="Calibri" w:hAnsi="Calibri" w:cs="Calibri"/>
          <w:color w:val="000000" w:themeColor="text1"/>
        </w:rPr>
        <w:t xml:space="preserve">mentors </w:t>
      </w:r>
      <w:r w:rsidRPr="3904A4FB">
        <w:rPr>
          <w:rFonts w:ascii="Calibri" w:eastAsia="Calibri" w:hAnsi="Calibri" w:cs="Calibri"/>
          <w:color w:val="000000" w:themeColor="text1"/>
        </w:rPr>
        <w:t xml:space="preserve">have a clear weekend boundary that prevents </w:t>
      </w:r>
      <w:r w:rsidR="3A0259EF" w:rsidRPr="3904A4FB">
        <w:rPr>
          <w:rFonts w:ascii="Calibri" w:eastAsia="Calibri" w:hAnsi="Calibri" w:cs="Calibri"/>
          <w:color w:val="000000" w:themeColor="text1"/>
        </w:rPr>
        <w:t xml:space="preserve">them </w:t>
      </w:r>
      <w:r w:rsidRPr="3904A4FB">
        <w:rPr>
          <w:rFonts w:ascii="Calibri" w:eastAsia="Calibri" w:hAnsi="Calibri" w:cs="Calibri"/>
          <w:color w:val="000000" w:themeColor="text1"/>
        </w:rPr>
        <w:t>from reviewing a document</w:t>
      </w:r>
      <w:r w:rsidR="3A0259EF" w:rsidRPr="3904A4FB">
        <w:rPr>
          <w:rFonts w:ascii="Calibri" w:eastAsia="Calibri" w:hAnsi="Calibri" w:cs="Calibri"/>
          <w:color w:val="000000" w:themeColor="text1"/>
        </w:rPr>
        <w:t xml:space="preserve"> at that time</w:t>
      </w:r>
      <w:r w:rsidRPr="3904A4FB">
        <w:rPr>
          <w:rFonts w:ascii="Calibri" w:eastAsia="Calibri" w:hAnsi="Calibri" w:cs="Calibri"/>
          <w:color w:val="000000" w:themeColor="text1"/>
        </w:rPr>
        <w:t xml:space="preserve">, set </w:t>
      </w:r>
      <w:r w:rsidR="3A0259EF" w:rsidRPr="3904A4FB">
        <w:rPr>
          <w:rFonts w:ascii="Calibri" w:eastAsia="Calibri" w:hAnsi="Calibri" w:cs="Calibri"/>
          <w:color w:val="000000" w:themeColor="text1"/>
        </w:rPr>
        <w:t xml:space="preserve">a </w:t>
      </w:r>
      <w:r w:rsidRPr="3904A4FB">
        <w:rPr>
          <w:rFonts w:ascii="Calibri" w:eastAsia="Calibri" w:hAnsi="Calibri" w:cs="Calibri"/>
          <w:color w:val="000000" w:themeColor="text1"/>
        </w:rPr>
        <w:t xml:space="preserve">deadline for </w:t>
      </w:r>
      <w:r w:rsidR="3A0259EF" w:rsidRPr="3904A4FB">
        <w:rPr>
          <w:rFonts w:ascii="Calibri" w:eastAsia="Calibri" w:hAnsi="Calibri" w:cs="Calibri"/>
          <w:color w:val="000000" w:themeColor="text1"/>
        </w:rPr>
        <w:t xml:space="preserve">a </w:t>
      </w:r>
      <w:r w:rsidRPr="3904A4FB">
        <w:rPr>
          <w:rFonts w:ascii="Calibri" w:eastAsia="Calibri" w:hAnsi="Calibri" w:cs="Calibri"/>
          <w:color w:val="000000" w:themeColor="text1"/>
        </w:rPr>
        <w:t xml:space="preserve">Monday instead of a Friday. </w:t>
      </w:r>
    </w:p>
    <w:p w14:paraId="58FC0581" w14:textId="2299DDD4" w:rsidR="001D6574" w:rsidRDefault="6B455DE5" w:rsidP="3904A4FB">
      <w:pPr>
        <w:spacing w:line="480" w:lineRule="auto"/>
        <w:ind w:firstLine="720"/>
        <w:rPr>
          <w:rFonts w:ascii="Calibri" w:eastAsia="Calibri" w:hAnsi="Calibri" w:cs="Calibri"/>
          <w:color w:val="000000" w:themeColor="text1"/>
        </w:rPr>
      </w:pPr>
      <w:r w:rsidRPr="3904A4FB">
        <w:rPr>
          <w:rFonts w:ascii="Calibri" w:eastAsia="Calibri" w:hAnsi="Calibri" w:cs="Calibri"/>
          <w:color w:val="000000" w:themeColor="text1"/>
        </w:rPr>
        <w:t xml:space="preserve">As some </w:t>
      </w:r>
      <w:r w:rsidR="505D0F8B" w:rsidRPr="3904A4FB">
        <w:rPr>
          <w:rFonts w:ascii="Calibri" w:eastAsia="Calibri" w:hAnsi="Calibri" w:cs="Calibri"/>
          <w:color w:val="000000" w:themeColor="text1"/>
        </w:rPr>
        <w:t>learner</w:t>
      </w:r>
      <w:r w:rsidRPr="3904A4FB">
        <w:rPr>
          <w:rFonts w:ascii="Calibri" w:eastAsia="Calibri" w:hAnsi="Calibri" w:cs="Calibri"/>
          <w:color w:val="000000" w:themeColor="text1"/>
        </w:rPr>
        <w:t xml:space="preserve">s may still be building time management and research </w:t>
      </w:r>
      <w:r w:rsidR="68BD8926" w:rsidRPr="3904A4FB">
        <w:rPr>
          <w:rFonts w:ascii="Calibri" w:eastAsia="Calibri" w:hAnsi="Calibri" w:cs="Calibri"/>
          <w:color w:val="000000" w:themeColor="text1"/>
        </w:rPr>
        <w:t>skills</w:t>
      </w:r>
      <w:r w:rsidRPr="3904A4FB">
        <w:rPr>
          <w:rFonts w:ascii="Calibri" w:eastAsia="Calibri" w:hAnsi="Calibri" w:cs="Calibri"/>
          <w:color w:val="000000" w:themeColor="text1"/>
        </w:rPr>
        <w:t xml:space="preserve">, there are a few techniques to further build a successful project. Regarding timeline, working backwards from </w:t>
      </w:r>
      <w:r w:rsidR="68BD8926" w:rsidRPr="3904A4FB">
        <w:rPr>
          <w:rFonts w:ascii="Calibri" w:eastAsia="Calibri" w:hAnsi="Calibri" w:cs="Calibri"/>
          <w:color w:val="000000" w:themeColor="text1"/>
        </w:rPr>
        <w:t xml:space="preserve">the end goal, such as manuscript submission, </w:t>
      </w:r>
      <w:r w:rsidRPr="3904A4FB">
        <w:rPr>
          <w:rFonts w:ascii="Calibri" w:eastAsia="Calibri" w:hAnsi="Calibri" w:cs="Calibri"/>
          <w:color w:val="000000" w:themeColor="text1"/>
        </w:rPr>
        <w:t>and setting time for check</w:t>
      </w:r>
      <w:r w:rsidR="00F06C36">
        <w:rPr>
          <w:rFonts w:ascii="Calibri" w:eastAsia="Calibri" w:hAnsi="Calibri" w:cs="Calibri"/>
          <w:color w:val="000000" w:themeColor="text1"/>
        </w:rPr>
        <w:t>-</w:t>
      </w:r>
      <w:r w:rsidRPr="3904A4FB">
        <w:rPr>
          <w:rFonts w:ascii="Calibri" w:eastAsia="Calibri" w:hAnsi="Calibri" w:cs="Calibri"/>
          <w:color w:val="000000" w:themeColor="text1"/>
        </w:rPr>
        <w:t xml:space="preserve">ins </w:t>
      </w:r>
      <w:r w:rsidR="022D9892" w:rsidRPr="3904A4FB">
        <w:rPr>
          <w:rFonts w:ascii="Calibri" w:eastAsia="Calibri" w:hAnsi="Calibri" w:cs="Calibri"/>
          <w:color w:val="000000" w:themeColor="text1"/>
        </w:rPr>
        <w:t xml:space="preserve">and smaller goals </w:t>
      </w:r>
      <w:r w:rsidRPr="3904A4FB">
        <w:rPr>
          <w:rFonts w:ascii="Calibri" w:eastAsia="Calibri" w:hAnsi="Calibri" w:cs="Calibri"/>
          <w:color w:val="000000" w:themeColor="text1"/>
        </w:rPr>
        <w:t>can be a time saver</w:t>
      </w:r>
      <w:r w:rsidR="68BD8926" w:rsidRPr="3904A4FB">
        <w:rPr>
          <w:rFonts w:ascii="Calibri" w:eastAsia="Calibri" w:hAnsi="Calibri" w:cs="Calibri"/>
          <w:color w:val="000000" w:themeColor="text1"/>
        </w:rPr>
        <w:t>.</w:t>
      </w:r>
      <w:r w:rsidRPr="3904A4FB">
        <w:rPr>
          <w:rFonts w:ascii="Calibri" w:eastAsia="Calibri" w:hAnsi="Calibri" w:cs="Calibri"/>
          <w:color w:val="000000" w:themeColor="text1"/>
        </w:rPr>
        <w:t xml:space="preserve"> </w:t>
      </w:r>
      <w:r w:rsidR="0E58F622" w:rsidRPr="3904A4FB">
        <w:rPr>
          <w:rFonts w:ascii="Calibri" w:eastAsia="Calibri" w:hAnsi="Calibri" w:cs="Calibri"/>
          <w:color w:val="000000" w:themeColor="text1"/>
        </w:rPr>
        <w:t xml:space="preserve">Learners can be given the responsibility (with mentorship) to craft their own smaller goals to feed into the larger project </w:t>
      </w:r>
      <w:r w:rsidR="6BF66703" w:rsidRPr="3904A4FB">
        <w:rPr>
          <w:rFonts w:ascii="Calibri" w:eastAsia="Calibri" w:hAnsi="Calibri" w:cs="Calibri"/>
          <w:color w:val="000000" w:themeColor="text1"/>
        </w:rPr>
        <w:t>milestone</w:t>
      </w:r>
      <w:r w:rsidR="0E58F622" w:rsidRPr="3904A4FB">
        <w:rPr>
          <w:rFonts w:ascii="Calibri" w:eastAsia="Calibri" w:hAnsi="Calibri" w:cs="Calibri"/>
          <w:color w:val="000000" w:themeColor="text1"/>
        </w:rPr>
        <w:t xml:space="preserve">s. </w:t>
      </w:r>
      <w:r w:rsidR="68BD8926" w:rsidRPr="3904A4FB">
        <w:rPr>
          <w:rFonts w:ascii="Calibri" w:eastAsia="Calibri" w:hAnsi="Calibri" w:cs="Calibri"/>
          <w:color w:val="000000" w:themeColor="text1"/>
        </w:rPr>
        <w:t>C</w:t>
      </w:r>
      <w:r w:rsidRPr="3904A4FB">
        <w:rPr>
          <w:rFonts w:ascii="Calibri" w:eastAsia="Calibri" w:hAnsi="Calibri" w:cs="Calibri"/>
          <w:color w:val="000000" w:themeColor="text1"/>
        </w:rPr>
        <w:t>onsider</w:t>
      </w:r>
      <w:r w:rsidR="68BD8926" w:rsidRPr="3904A4FB">
        <w:rPr>
          <w:rFonts w:ascii="Calibri" w:eastAsia="Calibri" w:hAnsi="Calibri" w:cs="Calibri"/>
          <w:color w:val="000000" w:themeColor="text1"/>
        </w:rPr>
        <w:t>ation as to</w:t>
      </w:r>
      <w:r w:rsidRPr="3904A4FB">
        <w:rPr>
          <w:rFonts w:ascii="Calibri" w:eastAsia="Calibri" w:hAnsi="Calibri" w:cs="Calibri"/>
          <w:color w:val="000000" w:themeColor="text1"/>
        </w:rPr>
        <w:t xml:space="preserve"> how deadlines fall in the academic calendar or residency year</w:t>
      </w:r>
      <w:r w:rsidR="68BD8926" w:rsidRPr="3904A4FB">
        <w:rPr>
          <w:rFonts w:ascii="Calibri" w:eastAsia="Calibri" w:hAnsi="Calibri" w:cs="Calibri"/>
          <w:color w:val="000000" w:themeColor="text1"/>
        </w:rPr>
        <w:t xml:space="preserve"> should also be addressed</w:t>
      </w:r>
      <w:r w:rsidRPr="3904A4FB">
        <w:rPr>
          <w:rFonts w:ascii="Calibri" w:eastAsia="Calibri" w:hAnsi="Calibri" w:cs="Calibri"/>
          <w:color w:val="000000" w:themeColor="text1"/>
        </w:rPr>
        <w:t>. This may mean avoiding due dates around heavy exam weeks, finals,</w:t>
      </w:r>
      <w:r w:rsidR="0F77873A" w:rsidRPr="3904A4FB">
        <w:rPr>
          <w:rFonts w:ascii="Calibri" w:eastAsia="Calibri" w:hAnsi="Calibri" w:cs="Calibri"/>
          <w:color w:val="000000" w:themeColor="text1"/>
        </w:rPr>
        <w:t xml:space="preserve"> Midyear</w:t>
      </w:r>
      <w:r w:rsidR="68BD8926" w:rsidRPr="3904A4FB">
        <w:rPr>
          <w:rFonts w:ascii="Calibri" w:eastAsia="Calibri" w:hAnsi="Calibri" w:cs="Calibri"/>
          <w:color w:val="000000" w:themeColor="text1"/>
        </w:rPr>
        <w:t xml:space="preserve"> Clinical Meeting</w:t>
      </w:r>
      <w:r w:rsidR="60800004" w:rsidRPr="3904A4FB">
        <w:rPr>
          <w:rFonts w:ascii="Calibri" w:eastAsia="Calibri" w:hAnsi="Calibri" w:cs="Calibri"/>
          <w:color w:val="000000" w:themeColor="text1"/>
        </w:rPr>
        <w:t xml:space="preserve"> (MCM)</w:t>
      </w:r>
      <w:r w:rsidR="0F77873A" w:rsidRPr="3904A4FB">
        <w:rPr>
          <w:rFonts w:ascii="Calibri" w:eastAsia="Calibri" w:hAnsi="Calibri" w:cs="Calibri"/>
          <w:color w:val="000000" w:themeColor="text1"/>
        </w:rPr>
        <w:t>, job interviews,</w:t>
      </w:r>
      <w:r w:rsidRPr="3904A4FB">
        <w:rPr>
          <w:rFonts w:ascii="Calibri" w:eastAsia="Calibri" w:hAnsi="Calibri" w:cs="Calibri"/>
          <w:color w:val="000000" w:themeColor="text1"/>
        </w:rPr>
        <w:t xml:space="preserve"> other </w:t>
      </w:r>
      <w:r w:rsidR="1E05BCCD" w:rsidRPr="3904A4FB">
        <w:rPr>
          <w:rFonts w:ascii="Calibri" w:eastAsia="Calibri" w:hAnsi="Calibri" w:cs="Calibri"/>
          <w:color w:val="000000" w:themeColor="text1"/>
        </w:rPr>
        <w:t>periods of high workload</w:t>
      </w:r>
      <w:r w:rsidRPr="3904A4FB">
        <w:rPr>
          <w:rFonts w:ascii="Calibri" w:eastAsia="Calibri" w:hAnsi="Calibri" w:cs="Calibri"/>
          <w:color w:val="000000" w:themeColor="text1"/>
        </w:rPr>
        <w:t>, or the end of rotations.</w:t>
      </w:r>
      <w:r w:rsidR="00BE5025" w:rsidRPr="00BE5025">
        <w:rPr>
          <w:rFonts w:ascii="Calibri" w:eastAsia="Calibri" w:hAnsi="Calibri" w:cs="Calibri"/>
          <w:color w:val="000000" w:themeColor="text1"/>
          <w:vertAlign w:val="superscript"/>
        </w:rPr>
        <w:t>42</w:t>
      </w:r>
      <w:r w:rsidRPr="3904A4FB">
        <w:rPr>
          <w:rFonts w:ascii="Calibri" w:eastAsia="Calibri" w:hAnsi="Calibri" w:cs="Calibri"/>
          <w:color w:val="000000" w:themeColor="text1"/>
        </w:rPr>
        <w:t xml:space="preserve"> An additional, often overlooked component </w:t>
      </w:r>
      <w:r w:rsidR="022D9892" w:rsidRPr="3904A4FB">
        <w:rPr>
          <w:rFonts w:ascii="Calibri" w:eastAsia="Calibri" w:hAnsi="Calibri" w:cs="Calibri"/>
          <w:color w:val="000000" w:themeColor="text1"/>
        </w:rPr>
        <w:t xml:space="preserve">of a research experience </w:t>
      </w:r>
      <w:r w:rsidRPr="3904A4FB">
        <w:rPr>
          <w:rFonts w:ascii="Calibri" w:eastAsia="Calibri" w:hAnsi="Calibri" w:cs="Calibri"/>
          <w:color w:val="000000" w:themeColor="text1"/>
        </w:rPr>
        <w:t xml:space="preserve">includes feedback. </w:t>
      </w:r>
      <w:r w:rsidR="4B48D99C" w:rsidRPr="3904A4FB">
        <w:rPr>
          <w:rFonts w:ascii="Calibri" w:eastAsia="Calibri" w:hAnsi="Calibri" w:cs="Calibri"/>
          <w:color w:val="000000" w:themeColor="text1"/>
        </w:rPr>
        <w:t>S</w:t>
      </w:r>
      <w:r w:rsidRPr="3904A4FB">
        <w:rPr>
          <w:rFonts w:ascii="Calibri" w:eastAsia="Calibri" w:hAnsi="Calibri" w:cs="Calibri"/>
          <w:color w:val="000000" w:themeColor="text1"/>
        </w:rPr>
        <w:t xml:space="preserve">imilar to a rotation experience, </w:t>
      </w:r>
      <w:r w:rsidR="4B0C84D1" w:rsidRPr="3904A4FB">
        <w:rPr>
          <w:rFonts w:ascii="Calibri" w:eastAsia="Calibri" w:hAnsi="Calibri" w:cs="Calibri"/>
          <w:color w:val="000000" w:themeColor="text1"/>
        </w:rPr>
        <w:t xml:space="preserve">longitudinal research experiences </w:t>
      </w:r>
      <w:r w:rsidRPr="3904A4FB">
        <w:rPr>
          <w:rFonts w:ascii="Calibri" w:eastAsia="Calibri" w:hAnsi="Calibri" w:cs="Calibri"/>
          <w:color w:val="000000" w:themeColor="text1"/>
        </w:rPr>
        <w:t xml:space="preserve">warrant timely and high-quality feedback. Eliciting how the learner best receives and responds to feedback, </w:t>
      </w:r>
      <w:r w:rsidR="6EE640DD" w:rsidRPr="3904A4FB">
        <w:rPr>
          <w:rFonts w:ascii="Calibri" w:eastAsia="Calibri" w:hAnsi="Calibri" w:cs="Calibri"/>
          <w:color w:val="000000" w:themeColor="text1"/>
        </w:rPr>
        <w:t>the time and frequency that</w:t>
      </w:r>
      <w:r w:rsidRPr="3904A4FB">
        <w:rPr>
          <w:rFonts w:ascii="Calibri" w:eastAsia="Calibri" w:hAnsi="Calibri" w:cs="Calibri"/>
          <w:color w:val="000000" w:themeColor="text1"/>
        </w:rPr>
        <w:t xml:space="preserve"> feedback will be given, and how </w:t>
      </w:r>
      <w:r w:rsidR="022D9892" w:rsidRPr="3904A4FB">
        <w:rPr>
          <w:rFonts w:ascii="Calibri" w:eastAsia="Calibri" w:hAnsi="Calibri" w:cs="Calibri"/>
          <w:color w:val="000000" w:themeColor="text1"/>
        </w:rPr>
        <w:t xml:space="preserve">different pieces contribute to </w:t>
      </w:r>
      <w:r w:rsidRPr="3904A4FB">
        <w:rPr>
          <w:rFonts w:ascii="Calibri" w:eastAsia="Calibri" w:hAnsi="Calibri" w:cs="Calibri"/>
          <w:color w:val="000000" w:themeColor="text1"/>
        </w:rPr>
        <w:t xml:space="preserve">the big picture of the project </w:t>
      </w:r>
      <w:r w:rsidR="022D9892" w:rsidRPr="3904A4FB">
        <w:rPr>
          <w:rFonts w:ascii="Calibri" w:eastAsia="Calibri" w:hAnsi="Calibri" w:cs="Calibri"/>
          <w:color w:val="000000" w:themeColor="text1"/>
        </w:rPr>
        <w:t xml:space="preserve">will </w:t>
      </w:r>
      <w:r w:rsidRPr="3904A4FB">
        <w:rPr>
          <w:rFonts w:ascii="Calibri" w:eastAsia="Calibri" w:hAnsi="Calibri" w:cs="Calibri"/>
          <w:color w:val="000000" w:themeColor="text1"/>
        </w:rPr>
        <w:t>help support learner and project progression.</w:t>
      </w:r>
      <w:r w:rsidR="000E22DC" w:rsidRPr="000E22DC">
        <w:rPr>
          <w:rFonts w:ascii="Calibri" w:eastAsia="Calibri" w:hAnsi="Calibri" w:cs="Calibri"/>
          <w:color w:val="000000" w:themeColor="text1"/>
          <w:vertAlign w:val="superscript"/>
        </w:rPr>
        <w:t>13</w:t>
      </w:r>
      <w:r w:rsidRPr="3904A4FB">
        <w:rPr>
          <w:rFonts w:ascii="Calibri" w:eastAsia="Calibri" w:hAnsi="Calibri" w:cs="Calibri"/>
          <w:color w:val="000000" w:themeColor="text1"/>
        </w:rPr>
        <w:t xml:space="preserve"> </w:t>
      </w:r>
      <w:r w:rsidR="4F508F38" w:rsidRPr="3904A4FB">
        <w:rPr>
          <w:rFonts w:ascii="Calibri" w:eastAsia="Calibri" w:hAnsi="Calibri" w:cs="Calibri"/>
          <w:color w:val="000000" w:themeColor="text1"/>
        </w:rPr>
        <w:t xml:space="preserve">Lastly, </w:t>
      </w:r>
      <w:r w:rsidR="431A26F4" w:rsidRPr="3904A4FB">
        <w:rPr>
          <w:rFonts w:ascii="Calibri" w:eastAsia="Calibri" w:hAnsi="Calibri" w:cs="Calibri"/>
          <w:color w:val="000000" w:themeColor="text1"/>
        </w:rPr>
        <w:t xml:space="preserve">providing examples of work in the various stages of improvement can showcase </w:t>
      </w:r>
      <w:r w:rsidR="034961CD" w:rsidRPr="3904A4FB">
        <w:rPr>
          <w:rFonts w:ascii="Calibri" w:eastAsia="Calibri" w:hAnsi="Calibri" w:cs="Calibri"/>
          <w:color w:val="000000" w:themeColor="text1"/>
        </w:rPr>
        <w:t>expected progress over time</w:t>
      </w:r>
      <w:r w:rsidR="0BF8FF3B" w:rsidRPr="3904A4FB">
        <w:rPr>
          <w:rFonts w:ascii="Calibri" w:eastAsia="Calibri" w:hAnsi="Calibri" w:cs="Calibri"/>
          <w:color w:val="000000" w:themeColor="text1"/>
        </w:rPr>
        <w:t xml:space="preserve">, provide </w:t>
      </w:r>
      <w:r w:rsidR="0AF6101F" w:rsidRPr="3904A4FB">
        <w:rPr>
          <w:rFonts w:ascii="Calibri" w:eastAsia="Calibri" w:hAnsi="Calibri" w:cs="Calibri"/>
          <w:color w:val="000000" w:themeColor="text1"/>
        </w:rPr>
        <w:t>a frame of reference,</w:t>
      </w:r>
      <w:r w:rsidR="034961CD" w:rsidRPr="3904A4FB">
        <w:rPr>
          <w:rFonts w:ascii="Calibri" w:eastAsia="Calibri" w:hAnsi="Calibri" w:cs="Calibri"/>
          <w:color w:val="000000" w:themeColor="text1"/>
        </w:rPr>
        <w:t xml:space="preserve"> and allow for the learner to see a near-peer trajectory.</w:t>
      </w:r>
      <w:r w:rsidR="431A26F4" w:rsidRPr="3904A4FB">
        <w:rPr>
          <w:rFonts w:ascii="Calibri" w:eastAsia="Calibri" w:hAnsi="Calibri" w:cs="Calibri"/>
          <w:color w:val="000000" w:themeColor="text1"/>
        </w:rPr>
        <w:t xml:space="preserve"> </w:t>
      </w:r>
    </w:p>
    <w:p w14:paraId="576C1DE6" w14:textId="6F1F9B1E" w:rsidR="001D6574" w:rsidRDefault="00815E83" w:rsidP="001D6574">
      <w:pPr>
        <w:rPr>
          <w:rFonts w:ascii="Calibri" w:eastAsia="Calibri" w:hAnsi="Calibri" w:cs="Calibri"/>
          <w:color w:val="000000" w:themeColor="text1"/>
        </w:rPr>
      </w:pPr>
      <w:r>
        <w:rPr>
          <w:rFonts w:ascii="Calibri" w:eastAsia="Calibri" w:hAnsi="Calibri" w:cs="Calibri"/>
          <w:i/>
          <w:iCs/>
          <w:color w:val="000000" w:themeColor="text1"/>
        </w:rPr>
        <w:t xml:space="preserve">3.2 </w:t>
      </w:r>
      <w:r w:rsidR="001D6574" w:rsidRPr="3C02B6A4">
        <w:rPr>
          <w:rFonts w:ascii="Calibri" w:eastAsia="Calibri" w:hAnsi="Calibri" w:cs="Calibri"/>
          <w:i/>
          <w:iCs/>
          <w:color w:val="000000" w:themeColor="text1"/>
        </w:rPr>
        <w:t>Layering learners to expand research reach and build a model for productivity</w:t>
      </w:r>
    </w:p>
    <w:p w14:paraId="1DE9BF1E" w14:textId="7F6CBAED" w:rsidR="001D6574" w:rsidRDefault="001D6574" w:rsidP="66E9540D">
      <w:pPr>
        <w:spacing w:line="480" w:lineRule="auto"/>
        <w:ind w:firstLine="720"/>
        <w:rPr>
          <w:rFonts w:ascii="Calibri" w:eastAsia="Calibri" w:hAnsi="Calibri" w:cs="Calibri"/>
          <w:color w:val="000000" w:themeColor="text1"/>
        </w:rPr>
      </w:pPr>
      <w:r w:rsidRPr="66E9540D">
        <w:rPr>
          <w:rFonts w:ascii="Calibri" w:eastAsia="Calibri" w:hAnsi="Calibri" w:cs="Calibri"/>
          <w:color w:val="000000" w:themeColor="text1"/>
        </w:rPr>
        <w:t>For larger projects or ongoing research programs, layering learners and optimizing near-peer training in research may yield enhanced productivity and research continuity.</w:t>
      </w:r>
      <w:r w:rsidR="000E22DC" w:rsidRPr="000E22DC">
        <w:rPr>
          <w:rFonts w:ascii="Calibri" w:eastAsia="Calibri" w:hAnsi="Calibri" w:cs="Calibri"/>
          <w:color w:val="000000" w:themeColor="text1"/>
          <w:vertAlign w:val="superscript"/>
        </w:rPr>
        <w:t>13</w:t>
      </w:r>
      <w:r w:rsidRPr="66E9540D">
        <w:rPr>
          <w:rFonts w:ascii="Calibri" w:eastAsia="Calibri" w:hAnsi="Calibri" w:cs="Calibri"/>
          <w:color w:val="000000" w:themeColor="text1"/>
        </w:rPr>
        <w:t xml:space="preserve"> Layering can include </w:t>
      </w:r>
      <w:r w:rsidRPr="66E9540D">
        <w:rPr>
          <w:rFonts w:ascii="Calibri" w:eastAsia="Calibri" w:hAnsi="Calibri" w:cs="Calibri"/>
          <w:color w:val="000000" w:themeColor="text1"/>
        </w:rPr>
        <w:lastRenderedPageBreak/>
        <w:t>integrating residents or fellows along with Advanced Pharmacy Practice Experience (APPE) students and pre-APPE students or any combination of various levels of learners. While commonly described in the experiential practice setting, this model has potential transferability and benefit in research.</w:t>
      </w:r>
      <w:r w:rsidR="000E22DC" w:rsidRPr="000E22DC">
        <w:rPr>
          <w:rFonts w:ascii="Calibri" w:eastAsia="Calibri" w:hAnsi="Calibri" w:cs="Calibri"/>
          <w:color w:val="000000" w:themeColor="text1"/>
          <w:vertAlign w:val="superscript"/>
        </w:rPr>
        <w:t>43</w:t>
      </w:r>
      <w:r w:rsidRPr="66E9540D">
        <w:rPr>
          <w:rFonts w:ascii="Calibri" w:eastAsia="Calibri" w:hAnsi="Calibri" w:cs="Calibri"/>
          <w:color w:val="000000" w:themeColor="text1"/>
        </w:rPr>
        <w:t xml:space="preserve"> Use of layered learning and near-peer mentorship provides the opportunity for more advanced learners</w:t>
      </w:r>
      <w:r w:rsidR="00634EFB" w:rsidRPr="66E9540D">
        <w:rPr>
          <w:rFonts w:ascii="Calibri" w:eastAsia="Calibri" w:hAnsi="Calibri" w:cs="Calibri"/>
          <w:color w:val="000000" w:themeColor="text1"/>
        </w:rPr>
        <w:t>,</w:t>
      </w:r>
      <w:r w:rsidRPr="66E9540D">
        <w:rPr>
          <w:rFonts w:ascii="Calibri" w:eastAsia="Calibri" w:hAnsi="Calibri" w:cs="Calibri"/>
          <w:color w:val="000000" w:themeColor="text1"/>
        </w:rPr>
        <w:t xml:space="preserve"> such as residents</w:t>
      </w:r>
      <w:r w:rsidR="00634EFB" w:rsidRPr="66E9540D">
        <w:rPr>
          <w:rFonts w:ascii="Calibri" w:eastAsia="Calibri" w:hAnsi="Calibri" w:cs="Calibri"/>
          <w:color w:val="000000" w:themeColor="text1"/>
        </w:rPr>
        <w:t>,</w:t>
      </w:r>
      <w:r w:rsidRPr="66E9540D">
        <w:rPr>
          <w:rFonts w:ascii="Calibri" w:eastAsia="Calibri" w:hAnsi="Calibri" w:cs="Calibri"/>
          <w:color w:val="000000" w:themeColor="text1"/>
        </w:rPr>
        <w:t xml:space="preserve"> to train in the role of research mentor, while other learners achieve research experience in a safe and </w:t>
      </w:r>
      <w:r w:rsidR="00634EFB" w:rsidRPr="66E9540D">
        <w:rPr>
          <w:rFonts w:ascii="Calibri" w:eastAsia="Calibri" w:hAnsi="Calibri" w:cs="Calibri"/>
          <w:color w:val="000000" w:themeColor="text1"/>
        </w:rPr>
        <w:t xml:space="preserve">controlled </w:t>
      </w:r>
      <w:r w:rsidRPr="66E9540D">
        <w:rPr>
          <w:rFonts w:ascii="Calibri" w:eastAsia="Calibri" w:hAnsi="Calibri" w:cs="Calibri"/>
          <w:color w:val="000000" w:themeColor="text1"/>
        </w:rPr>
        <w:t xml:space="preserve">environment. This model may also help lessen the burden on </w:t>
      </w:r>
      <w:r w:rsidR="00634EFB" w:rsidRPr="66E9540D">
        <w:rPr>
          <w:rFonts w:ascii="Calibri" w:eastAsia="Calibri" w:hAnsi="Calibri" w:cs="Calibri"/>
          <w:color w:val="000000" w:themeColor="text1"/>
        </w:rPr>
        <w:t>a mentor</w:t>
      </w:r>
      <w:r w:rsidRPr="66E9540D">
        <w:rPr>
          <w:rFonts w:ascii="Calibri" w:eastAsia="Calibri" w:hAnsi="Calibri" w:cs="Calibri"/>
          <w:color w:val="000000" w:themeColor="text1"/>
        </w:rPr>
        <w:t xml:space="preserve"> being sole</w:t>
      </w:r>
      <w:r w:rsidR="00634EFB" w:rsidRPr="66E9540D">
        <w:rPr>
          <w:rFonts w:ascii="Calibri" w:eastAsia="Calibri" w:hAnsi="Calibri" w:cs="Calibri"/>
          <w:color w:val="000000" w:themeColor="text1"/>
        </w:rPr>
        <w:t>ly</w:t>
      </w:r>
      <w:r w:rsidRPr="66E9540D">
        <w:rPr>
          <w:rFonts w:ascii="Calibri" w:eastAsia="Calibri" w:hAnsi="Calibri" w:cs="Calibri"/>
          <w:color w:val="000000" w:themeColor="text1"/>
        </w:rPr>
        <w:t xml:space="preserve"> </w:t>
      </w:r>
      <w:r w:rsidR="008B02D7" w:rsidRPr="66E9540D">
        <w:rPr>
          <w:rFonts w:ascii="Calibri" w:eastAsia="Calibri" w:hAnsi="Calibri" w:cs="Calibri"/>
          <w:color w:val="000000" w:themeColor="text1"/>
        </w:rPr>
        <w:t>responsible</w:t>
      </w:r>
      <w:r w:rsidR="00634EFB" w:rsidRPr="66E9540D">
        <w:rPr>
          <w:rFonts w:ascii="Calibri" w:eastAsia="Calibri" w:hAnsi="Calibri" w:cs="Calibri"/>
          <w:color w:val="000000" w:themeColor="text1"/>
        </w:rPr>
        <w:t xml:space="preserve"> </w:t>
      </w:r>
      <w:r w:rsidRPr="66E9540D">
        <w:rPr>
          <w:rFonts w:ascii="Calibri" w:eastAsia="Calibri" w:hAnsi="Calibri" w:cs="Calibri"/>
          <w:color w:val="000000" w:themeColor="text1"/>
        </w:rPr>
        <w:t xml:space="preserve">for a project. </w:t>
      </w:r>
      <w:r w:rsidR="00D07786" w:rsidRPr="66E9540D">
        <w:rPr>
          <w:rFonts w:ascii="Calibri" w:eastAsia="Calibri" w:hAnsi="Calibri" w:cs="Calibri"/>
          <w:color w:val="000000" w:themeColor="text1"/>
        </w:rPr>
        <w:t>I</w:t>
      </w:r>
      <w:r w:rsidRPr="66E9540D">
        <w:rPr>
          <w:rFonts w:ascii="Calibri" w:eastAsia="Calibri" w:hAnsi="Calibri" w:cs="Calibri"/>
          <w:color w:val="000000" w:themeColor="text1"/>
        </w:rPr>
        <w:t xml:space="preserve">f approached strategically, this model also has the potential to build in research continuity for larger multi-year or multi-arm projects, allowing for younger trainees to grow with the project from year to year instead of only being with the project for one year of residency or as an APPE student. </w:t>
      </w:r>
      <w:r w:rsidR="00D07786" w:rsidRPr="66E9540D">
        <w:rPr>
          <w:rFonts w:ascii="Calibri" w:eastAsia="Calibri" w:hAnsi="Calibri" w:cs="Calibri"/>
          <w:color w:val="000000" w:themeColor="text1"/>
        </w:rPr>
        <w:t xml:space="preserve">Finally, this model has </w:t>
      </w:r>
      <w:r w:rsidR="00DD13BA">
        <w:rPr>
          <w:rFonts w:ascii="Calibri" w:eastAsia="Calibri" w:hAnsi="Calibri" w:cs="Calibri"/>
          <w:color w:val="000000" w:themeColor="text1"/>
        </w:rPr>
        <w:t xml:space="preserve">demonstrated </w:t>
      </w:r>
      <w:r w:rsidR="00D07786" w:rsidRPr="66E9540D">
        <w:rPr>
          <w:rFonts w:ascii="Calibri" w:eastAsia="Calibri" w:hAnsi="Calibri" w:cs="Calibri"/>
          <w:color w:val="000000" w:themeColor="text1"/>
        </w:rPr>
        <w:t>the potential to produce more scholarly outputs if implemented.</w:t>
      </w:r>
      <w:r w:rsidR="000E22DC" w:rsidRPr="000E22DC">
        <w:rPr>
          <w:rFonts w:ascii="Calibri" w:eastAsia="Calibri" w:hAnsi="Calibri" w:cs="Calibri"/>
          <w:color w:val="000000" w:themeColor="text1"/>
          <w:vertAlign w:val="superscript"/>
        </w:rPr>
        <w:t>33</w:t>
      </w:r>
      <w:r w:rsidR="1EB27687" w:rsidRPr="66E9540D">
        <w:rPr>
          <w:rFonts w:ascii="Calibri" w:eastAsia="Calibri" w:hAnsi="Calibri" w:cs="Calibri"/>
          <w:color w:val="000000" w:themeColor="text1"/>
        </w:rPr>
        <w:t xml:space="preserve"> </w:t>
      </w:r>
    </w:p>
    <w:p w14:paraId="5BC94D02" w14:textId="5D9989BA" w:rsidR="00884238" w:rsidRPr="00884238" w:rsidRDefault="00815E83" w:rsidP="00884238">
      <w:pPr>
        <w:rPr>
          <w:rFonts w:ascii="Calibri" w:eastAsia="Calibri" w:hAnsi="Calibri" w:cs="Calibri"/>
          <w:i/>
          <w:iCs/>
          <w:color w:val="000000" w:themeColor="text1"/>
        </w:rPr>
      </w:pPr>
      <w:r>
        <w:rPr>
          <w:rFonts w:ascii="Calibri" w:eastAsia="Calibri" w:hAnsi="Calibri" w:cs="Calibri"/>
          <w:i/>
          <w:iCs/>
          <w:color w:val="000000" w:themeColor="text1"/>
        </w:rPr>
        <w:t xml:space="preserve">3.3 </w:t>
      </w:r>
      <w:r w:rsidR="001D6574" w:rsidRPr="23CBD5B8">
        <w:rPr>
          <w:rFonts w:ascii="Calibri" w:eastAsia="Calibri" w:hAnsi="Calibri" w:cs="Calibri"/>
          <w:i/>
          <w:iCs/>
          <w:color w:val="000000" w:themeColor="text1"/>
        </w:rPr>
        <w:t>Adapting to research challenges</w:t>
      </w:r>
    </w:p>
    <w:p w14:paraId="1314865C" w14:textId="1713EB1D" w:rsidR="001D6574" w:rsidRDefault="00884238" w:rsidP="00F56DCC">
      <w:pPr>
        <w:spacing w:line="480" w:lineRule="auto"/>
        <w:ind w:firstLine="720"/>
        <w:rPr>
          <w:rFonts w:ascii="Calibri" w:eastAsia="Calibri" w:hAnsi="Calibri" w:cs="Calibri"/>
          <w:color w:val="000000" w:themeColor="text1"/>
        </w:rPr>
      </w:pPr>
      <w:r>
        <w:rPr>
          <w:rFonts w:ascii="Calibri" w:eastAsia="Calibri" w:hAnsi="Calibri" w:cs="Calibri"/>
          <w:color w:val="000000" w:themeColor="text1"/>
        </w:rPr>
        <w:t xml:space="preserve">As discussed previously, numerous challenges may be encountered by </w:t>
      </w:r>
      <w:r w:rsidR="001D6574" w:rsidRPr="23F99977">
        <w:rPr>
          <w:rFonts w:ascii="Calibri" w:eastAsia="Calibri" w:hAnsi="Calibri" w:cs="Calibri"/>
          <w:color w:val="000000" w:themeColor="text1"/>
        </w:rPr>
        <w:t>incorporating learners into research</w:t>
      </w:r>
      <w:r>
        <w:rPr>
          <w:rFonts w:ascii="Calibri" w:eastAsia="Calibri" w:hAnsi="Calibri" w:cs="Calibri"/>
          <w:color w:val="000000" w:themeColor="text1"/>
        </w:rPr>
        <w:t xml:space="preserve"> and QI projects</w:t>
      </w:r>
      <w:r w:rsidR="001D6574" w:rsidRPr="23F99977">
        <w:rPr>
          <w:rFonts w:ascii="Calibri" w:eastAsia="Calibri" w:hAnsi="Calibri" w:cs="Calibri"/>
          <w:color w:val="000000" w:themeColor="text1"/>
        </w:rPr>
        <w:t xml:space="preserve">, even when a streamlined research plan is put into place. </w:t>
      </w:r>
      <w:r w:rsidRPr="66E9540D">
        <w:rPr>
          <w:rFonts w:ascii="Calibri" w:eastAsia="Calibri" w:hAnsi="Calibri" w:cs="Calibri"/>
          <w:color w:val="000000" w:themeColor="text1"/>
        </w:rPr>
        <w:t xml:space="preserve">However, adaptation is </w:t>
      </w:r>
      <w:r w:rsidR="00C413A0" w:rsidRPr="66E9540D">
        <w:rPr>
          <w:rFonts w:ascii="Calibri" w:eastAsia="Calibri" w:hAnsi="Calibri" w:cs="Calibri"/>
          <w:color w:val="000000" w:themeColor="text1"/>
        </w:rPr>
        <w:t>possible,</w:t>
      </w:r>
      <w:r w:rsidRPr="66E9540D">
        <w:rPr>
          <w:rFonts w:ascii="Calibri" w:eastAsia="Calibri" w:hAnsi="Calibri" w:cs="Calibri"/>
          <w:color w:val="000000" w:themeColor="text1"/>
        </w:rPr>
        <w:t xml:space="preserve"> and </w:t>
      </w:r>
      <w:r w:rsidR="001D6574" w:rsidRPr="66E9540D">
        <w:rPr>
          <w:rFonts w:ascii="Calibri" w:eastAsia="Calibri" w:hAnsi="Calibri" w:cs="Calibri"/>
          <w:color w:val="000000" w:themeColor="text1"/>
        </w:rPr>
        <w:t xml:space="preserve">several strategies may be employed to safeguard against </w:t>
      </w:r>
      <w:r w:rsidRPr="66E9540D">
        <w:rPr>
          <w:rFonts w:ascii="Calibri" w:eastAsia="Calibri" w:hAnsi="Calibri" w:cs="Calibri"/>
          <w:color w:val="000000" w:themeColor="text1"/>
        </w:rPr>
        <w:t xml:space="preserve">these </w:t>
      </w:r>
      <w:r w:rsidR="001D6574" w:rsidRPr="66E9540D">
        <w:rPr>
          <w:rFonts w:ascii="Calibri" w:eastAsia="Calibri" w:hAnsi="Calibri" w:cs="Calibri"/>
          <w:color w:val="000000" w:themeColor="text1"/>
        </w:rPr>
        <w:t>challenges</w:t>
      </w:r>
      <w:r w:rsidRPr="66E9540D">
        <w:rPr>
          <w:rFonts w:ascii="Calibri" w:eastAsia="Calibri" w:hAnsi="Calibri" w:cs="Calibri"/>
          <w:color w:val="000000" w:themeColor="text1"/>
        </w:rPr>
        <w:t xml:space="preserve"> (Table 2)</w:t>
      </w:r>
      <w:r w:rsidR="001D6574" w:rsidRPr="66E9540D">
        <w:rPr>
          <w:rFonts w:ascii="Calibri" w:eastAsia="Calibri" w:hAnsi="Calibri" w:cs="Calibri"/>
          <w:color w:val="000000" w:themeColor="text1"/>
        </w:rPr>
        <w:t>. One such safeguard is the flipped research model which is becoming more popular amongst residency program research</w:t>
      </w:r>
      <w:r w:rsidR="70B11BAC" w:rsidRPr="66E9540D">
        <w:rPr>
          <w:rFonts w:ascii="Calibri" w:eastAsia="Calibri" w:hAnsi="Calibri" w:cs="Calibri"/>
          <w:color w:val="000000" w:themeColor="text1"/>
        </w:rPr>
        <w:t xml:space="preserve"> endeavors</w:t>
      </w:r>
      <w:r w:rsidR="001D6574" w:rsidRPr="66E9540D">
        <w:rPr>
          <w:rFonts w:ascii="Calibri" w:eastAsia="Calibri" w:hAnsi="Calibri" w:cs="Calibri"/>
          <w:color w:val="000000" w:themeColor="text1"/>
        </w:rPr>
        <w:t>.</w:t>
      </w:r>
      <w:r w:rsidR="00BA2D39" w:rsidRPr="00BA2D39">
        <w:rPr>
          <w:rFonts w:ascii="Calibri" w:eastAsia="Calibri" w:hAnsi="Calibri" w:cs="Calibri"/>
          <w:color w:val="000000" w:themeColor="text1"/>
          <w:vertAlign w:val="superscript"/>
        </w:rPr>
        <w:t>44</w:t>
      </w:r>
      <w:r w:rsidR="001D6574" w:rsidRPr="66E9540D">
        <w:rPr>
          <w:rFonts w:ascii="Calibri" w:eastAsia="Calibri" w:hAnsi="Calibri" w:cs="Calibri"/>
          <w:color w:val="000000" w:themeColor="text1"/>
        </w:rPr>
        <w:t xml:space="preserve"> The flipped research model is structured in which residents starting a program pick up an already started and IRB-approved research project by beginning with the data collection phase. Residents move through the year finishing the project about mid-year then the residents plan and attain IRB approval for a new project for the following resident to begin the next residency year.</w:t>
      </w:r>
      <w:r w:rsidR="00BA2D39" w:rsidRPr="00BA2D39">
        <w:rPr>
          <w:rFonts w:ascii="Calibri" w:eastAsia="Calibri" w:hAnsi="Calibri" w:cs="Calibri"/>
          <w:color w:val="000000" w:themeColor="text1"/>
          <w:vertAlign w:val="superscript"/>
        </w:rPr>
        <w:t>44</w:t>
      </w:r>
      <w:r w:rsidR="001D6574" w:rsidRPr="66E9540D">
        <w:rPr>
          <w:rFonts w:ascii="Calibri" w:eastAsia="Calibri" w:hAnsi="Calibri" w:cs="Calibri"/>
          <w:color w:val="000000" w:themeColor="text1"/>
        </w:rPr>
        <w:t xml:space="preserve"> This model allows for a more forgiving timeline given that the planning and IRB approval process may be a challenge </w:t>
      </w:r>
      <w:r w:rsidR="0073404B" w:rsidRPr="66E9540D">
        <w:rPr>
          <w:rFonts w:ascii="Calibri" w:eastAsia="Calibri" w:hAnsi="Calibri" w:cs="Calibri"/>
          <w:color w:val="000000" w:themeColor="text1"/>
        </w:rPr>
        <w:t xml:space="preserve">related </w:t>
      </w:r>
      <w:r w:rsidR="001D6574" w:rsidRPr="66E9540D">
        <w:rPr>
          <w:rFonts w:ascii="Calibri" w:eastAsia="Calibri" w:hAnsi="Calibri" w:cs="Calibri"/>
          <w:color w:val="000000" w:themeColor="text1"/>
        </w:rPr>
        <w:t>to research timelines.</w:t>
      </w:r>
      <w:r w:rsidR="00BA2D39" w:rsidRPr="00BA2D39">
        <w:rPr>
          <w:rFonts w:ascii="Calibri" w:eastAsia="Calibri" w:hAnsi="Calibri" w:cs="Calibri"/>
          <w:color w:val="000000" w:themeColor="text1"/>
          <w:vertAlign w:val="superscript"/>
        </w:rPr>
        <w:t>44</w:t>
      </w:r>
      <w:r w:rsidR="001D6574" w:rsidRPr="66E9540D">
        <w:rPr>
          <w:rFonts w:ascii="Calibri" w:eastAsia="Calibri" w:hAnsi="Calibri" w:cs="Calibri"/>
          <w:color w:val="000000" w:themeColor="text1"/>
        </w:rPr>
        <w:t xml:space="preserve"> </w:t>
      </w:r>
      <w:r w:rsidR="0073404B" w:rsidRPr="66E9540D">
        <w:rPr>
          <w:rFonts w:ascii="Calibri" w:eastAsia="Calibri" w:hAnsi="Calibri" w:cs="Calibri"/>
          <w:color w:val="000000" w:themeColor="text1"/>
        </w:rPr>
        <w:t>It may also better align with presenting data at key meetings or conferences, such as MCM, and allow for more dedicated time to the manuscript writing process for residents.</w:t>
      </w:r>
      <w:r w:rsidR="00F67DEA" w:rsidRPr="00F67DEA">
        <w:rPr>
          <w:rFonts w:ascii="Calibri" w:eastAsia="Calibri" w:hAnsi="Calibri" w:cs="Calibri"/>
          <w:color w:val="000000" w:themeColor="text1"/>
          <w:vertAlign w:val="superscript"/>
        </w:rPr>
        <w:t>44</w:t>
      </w:r>
      <w:r w:rsidR="0073404B" w:rsidRPr="66E9540D">
        <w:rPr>
          <w:rFonts w:ascii="Calibri" w:eastAsia="Calibri" w:hAnsi="Calibri" w:cs="Calibri"/>
          <w:color w:val="000000" w:themeColor="text1"/>
        </w:rPr>
        <w:t xml:space="preserve"> </w:t>
      </w:r>
      <w:r w:rsidR="001D6574" w:rsidRPr="66E9540D">
        <w:rPr>
          <w:rFonts w:ascii="Calibri" w:eastAsia="Calibri" w:hAnsi="Calibri" w:cs="Calibri"/>
          <w:color w:val="000000" w:themeColor="text1"/>
        </w:rPr>
        <w:t xml:space="preserve">This model can also be implemented for more structured or </w:t>
      </w:r>
      <w:r w:rsidR="001D6574" w:rsidRPr="66E9540D">
        <w:rPr>
          <w:rFonts w:ascii="Calibri" w:eastAsia="Calibri" w:hAnsi="Calibri" w:cs="Calibri"/>
          <w:color w:val="000000" w:themeColor="text1"/>
        </w:rPr>
        <w:lastRenderedPageBreak/>
        <w:t>longitudinal student research experiences.</w:t>
      </w:r>
      <w:r w:rsidR="004B4042" w:rsidRPr="66E9540D">
        <w:rPr>
          <w:rFonts w:ascii="Calibri" w:eastAsia="Calibri" w:hAnsi="Calibri" w:cs="Calibri"/>
          <w:color w:val="000000" w:themeColor="text1"/>
        </w:rPr>
        <w:t xml:space="preserve"> Multi-arm projects could also be considered if a comparative analysis is desired for larger studies and if feasible. In this approach, one or more learners focus on data collection for one arm of a project while others would collect data for another arm of a project. This could be done under one IRB submission</w:t>
      </w:r>
      <w:r w:rsidR="00C413A0">
        <w:rPr>
          <w:rFonts w:ascii="Calibri" w:eastAsia="Calibri" w:hAnsi="Calibri" w:cs="Calibri"/>
          <w:color w:val="000000" w:themeColor="text1"/>
        </w:rPr>
        <w:t>. This process may help</w:t>
      </w:r>
      <w:r w:rsidR="004B4042" w:rsidRPr="66E9540D">
        <w:rPr>
          <w:rFonts w:ascii="Calibri" w:eastAsia="Calibri" w:hAnsi="Calibri" w:cs="Calibri"/>
          <w:color w:val="000000" w:themeColor="text1"/>
        </w:rPr>
        <w:t xml:space="preserve"> manage workload, lead to multiple scholarly outputs, and be combined and analyzed later when considering publication. </w:t>
      </w:r>
    </w:p>
    <w:p w14:paraId="6C426053" w14:textId="42D918E0" w:rsidR="00ED06D2" w:rsidRDefault="001D6574" w:rsidP="00ED06D2">
      <w:pPr>
        <w:spacing w:line="480" w:lineRule="auto"/>
        <w:ind w:firstLine="720"/>
        <w:rPr>
          <w:rFonts w:ascii="Calibri" w:eastAsia="Calibri" w:hAnsi="Calibri" w:cs="Calibri"/>
          <w:color w:val="000000" w:themeColor="text1"/>
        </w:rPr>
      </w:pPr>
      <w:r w:rsidRPr="682FC2CD">
        <w:rPr>
          <w:rFonts w:ascii="Calibri" w:eastAsia="Calibri" w:hAnsi="Calibri" w:cs="Calibri"/>
          <w:color w:val="000000" w:themeColor="text1"/>
        </w:rPr>
        <w:t xml:space="preserve">Robust planning should be completed, and safeguards implemented to keep research on track. There are several considerations to salvaging research quality and productivity. A research contract as discussed above is critical; however, it is also important to consider a path for exiting the research experience. For example, if a learner changes priorities or has a personal conflict arise that is preventing them from being successful, consider providing a </w:t>
      </w:r>
      <w:r w:rsidR="00AD28A9" w:rsidRPr="682FC2CD">
        <w:rPr>
          <w:rFonts w:ascii="Calibri" w:eastAsia="Calibri" w:hAnsi="Calibri" w:cs="Calibri"/>
          <w:color w:val="000000" w:themeColor="text1"/>
        </w:rPr>
        <w:t>low stakes</w:t>
      </w:r>
      <w:r w:rsidRPr="682FC2CD">
        <w:rPr>
          <w:rFonts w:ascii="Calibri" w:eastAsia="Calibri" w:hAnsi="Calibri" w:cs="Calibri"/>
          <w:color w:val="000000" w:themeColor="text1"/>
        </w:rPr>
        <w:t xml:space="preserve"> exit, if the research experience is not mandatory.</w:t>
      </w:r>
      <w:r w:rsidR="003D22D1" w:rsidRPr="003D22D1">
        <w:rPr>
          <w:rFonts w:ascii="Calibri" w:eastAsia="Calibri" w:hAnsi="Calibri" w:cs="Calibri"/>
          <w:color w:val="000000" w:themeColor="text1"/>
          <w:vertAlign w:val="superscript"/>
        </w:rPr>
        <w:t>13</w:t>
      </w:r>
      <w:r w:rsidRPr="682FC2CD">
        <w:rPr>
          <w:rFonts w:ascii="Calibri" w:eastAsia="Calibri" w:hAnsi="Calibri" w:cs="Calibri"/>
          <w:color w:val="000000" w:themeColor="text1"/>
        </w:rPr>
        <w:t xml:space="preserve"> Through use of planning tools and required learner documentation, changeover from one student exit could be passed onto another learner easily without sacrificing the overall project or leaving data collection or other components suspended. If research project exit is not desired, incorporation of additional learners or splitting a larger project into smaller arms may also be a feasible option.</w:t>
      </w:r>
      <w:r w:rsidR="7F43E33D" w:rsidRPr="682FC2CD">
        <w:rPr>
          <w:rFonts w:ascii="Calibri" w:eastAsia="Calibri" w:hAnsi="Calibri" w:cs="Calibri"/>
          <w:color w:val="000000" w:themeColor="text1"/>
        </w:rPr>
        <w:t xml:space="preserve"> Finally, </w:t>
      </w:r>
      <w:r w:rsidR="00AD28A9">
        <w:rPr>
          <w:rFonts w:ascii="Calibri" w:eastAsia="Calibri" w:hAnsi="Calibri" w:cs="Calibri"/>
          <w:color w:val="000000" w:themeColor="text1"/>
        </w:rPr>
        <w:t xml:space="preserve">if </w:t>
      </w:r>
      <w:r w:rsidR="7F43E33D" w:rsidRPr="682FC2CD">
        <w:rPr>
          <w:rFonts w:ascii="Calibri" w:eastAsia="Calibri" w:hAnsi="Calibri" w:cs="Calibri"/>
          <w:color w:val="000000" w:themeColor="text1"/>
        </w:rPr>
        <w:t xml:space="preserve">statistical analysis plans go awry, opportunities to learn </w:t>
      </w:r>
      <w:r w:rsidR="5E9655D6" w:rsidRPr="682FC2CD">
        <w:rPr>
          <w:rFonts w:ascii="Calibri" w:eastAsia="Calibri" w:hAnsi="Calibri" w:cs="Calibri"/>
          <w:color w:val="000000" w:themeColor="text1"/>
        </w:rPr>
        <w:t>this new skill may be undertaken by the mentor or learner via available resources</w:t>
      </w:r>
      <w:r w:rsidR="00AD28A9">
        <w:rPr>
          <w:rFonts w:ascii="Calibri" w:eastAsia="Calibri" w:hAnsi="Calibri" w:cs="Calibri"/>
          <w:color w:val="000000" w:themeColor="text1"/>
        </w:rPr>
        <w:t>.</w:t>
      </w:r>
      <w:r w:rsidR="5E9655D6" w:rsidRPr="682FC2CD">
        <w:rPr>
          <w:rFonts w:ascii="Calibri" w:eastAsia="Calibri" w:hAnsi="Calibri" w:cs="Calibri"/>
          <w:color w:val="000000" w:themeColor="text1"/>
        </w:rPr>
        <w:t xml:space="preserve"> </w:t>
      </w:r>
      <w:r w:rsidR="00AD28A9">
        <w:rPr>
          <w:rFonts w:ascii="Calibri" w:eastAsia="Calibri" w:hAnsi="Calibri" w:cs="Calibri"/>
          <w:color w:val="000000" w:themeColor="text1"/>
        </w:rPr>
        <w:t>I</w:t>
      </w:r>
      <w:r w:rsidR="5E9655D6" w:rsidRPr="682FC2CD">
        <w:rPr>
          <w:rFonts w:ascii="Calibri" w:eastAsia="Calibri" w:hAnsi="Calibri" w:cs="Calibri"/>
          <w:color w:val="000000" w:themeColor="text1"/>
        </w:rPr>
        <w:t>f the mentor is well versed</w:t>
      </w:r>
      <w:r w:rsidR="00AD28A9">
        <w:rPr>
          <w:rFonts w:ascii="Calibri" w:eastAsia="Calibri" w:hAnsi="Calibri" w:cs="Calibri"/>
          <w:color w:val="000000" w:themeColor="text1"/>
        </w:rPr>
        <w:t xml:space="preserve"> in statistical analysis</w:t>
      </w:r>
      <w:r w:rsidR="5E9655D6" w:rsidRPr="682FC2CD">
        <w:rPr>
          <w:rFonts w:ascii="Calibri" w:eastAsia="Calibri" w:hAnsi="Calibri" w:cs="Calibri"/>
          <w:color w:val="000000" w:themeColor="text1"/>
        </w:rPr>
        <w:t xml:space="preserve">, it may be an opportunity to </w:t>
      </w:r>
      <w:r w:rsidR="444F5ED3" w:rsidRPr="682FC2CD">
        <w:rPr>
          <w:rFonts w:ascii="Calibri" w:eastAsia="Calibri" w:hAnsi="Calibri" w:cs="Calibri"/>
          <w:color w:val="000000" w:themeColor="text1"/>
        </w:rPr>
        <w:t>utilize</w:t>
      </w:r>
      <w:r w:rsidR="5E9655D6" w:rsidRPr="682FC2CD">
        <w:rPr>
          <w:rFonts w:ascii="Calibri" w:eastAsia="Calibri" w:hAnsi="Calibri" w:cs="Calibri"/>
          <w:color w:val="000000" w:themeColor="text1"/>
        </w:rPr>
        <w:t xml:space="preserve"> more direct instruction, modeling, and coaching to teach the learner more about analyses. </w:t>
      </w:r>
      <w:r w:rsidR="2F17CA72" w:rsidRPr="682FC2CD">
        <w:rPr>
          <w:rFonts w:ascii="Calibri" w:eastAsia="Calibri" w:hAnsi="Calibri" w:cs="Calibri"/>
          <w:color w:val="000000" w:themeColor="text1"/>
        </w:rPr>
        <w:t xml:space="preserve">When engaging with external statistical support, safeguarding against statistical challenges may mean early initial meetings with statisticians during the project design phase and clear communication regarding timelines, data collection, and overall needs. </w:t>
      </w:r>
    </w:p>
    <w:p w14:paraId="2467E2F5" w14:textId="229897C7" w:rsidR="00565A2C" w:rsidRDefault="00565A2C" w:rsidP="00ED06D2">
      <w:pPr>
        <w:spacing w:line="480" w:lineRule="auto"/>
        <w:rPr>
          <w:b/>
          <w:bCs/>
        </w:rPr>
      </w:pPr>
      <w:r>
        <w:rPr>
          <w:b/>
          <w:bCs/>
        </w:rPr>
        <w:t>4. Defining Research Success</w:t>
      </w:r>
    </w:p>
    <w:p w14:paraId="02AFD05F" w14:textId="5D39C689" w:rsidR="001D6574" w:rsidRDefault="001D6574" w:rsidP="004B4042">
      <w:pPr>
        <w:spacing w:line="480" w:lineRule="auto"/>
        <w:ind w:firstLine="720"/>
        <w:rPr>
          <w:rFonts w:ascii="Calibri" w:eastAsia="Calibri" w:hAnsi="Calibri" w:cs="Calibri"/>
          <w:color w:val="000000" w:themeColor="text1"/>
        </w:rPr>
      </w:pPr>
      <w:r w:rsidRPr="7BBD1B22">
        <w:rPr>
          <w:rFonts w:ascii="Calibri" w:eastAsia="Calibri" w:hAnsi="Calibri" w:cs="Calibri"/>
          <w:color w:val="000000" w:themeColor="text1"/>
        </w:rPr>
        <w:t xml:space="preserve">Various measures of success may be used when integrating learners into research. Of primary importance are the outcomes for the learner. Considering overall research objectives and learner goals </w:t>
      </w:r>
      <w:r w:rsidRPr="7BBD1B22">
        <w:rPr>
          <w:rFonts w:ascii="Calibri" w:eastAsia="Calibri" w:hAnsi="Calibri" w:cs="Calibri"/>
          <w:color w:val="000000" w:themeColor="text1"/>
        </w:rPr>
        <w:lastRenderedPageBreak/>
        <w:t>may help guide</w:t>
      </w:r>
      <w:r w:rsidR="000D5F36" w:rsidRPr="7BBD1B22">
        <w:rPr>
          <w:rFonts w:ascii="Calibri" w:eastAsia="Calibri" w:hAnsi="Calibri" w:cs="Calibri"/>
          <w:color w:val="000000" w:themeColor="text1"/>
        </w:rPr>
        <w:t xml:space="preserve"> how to define successful research</w:t>
      </w:r>
      <w:r w:rsidRPr="7BBD1B22">
        <w:rPr>
          <w:rFonts w:ascii="Calibri" w:eastAsia="Calibri" w:hAnsi="Calibri" w:cs="Calibri"/>
          <w:color w:val="000000" w:themeColor="text1"/>
        </w:rPr>
        <w:t>. For example, for a PGY1 resident, educational objectives and pre-specified deliverables by the residency program may d</w:t>
      </w:r>
      <w:r w:rsidR="004B4042" w:rsidRPr="7BBD1B22">
        <w:rPr>
          <w:rFonts w:ascii="Calibri" w:eastAsia="Calibri" w:hAnsi="Calibri" w:cs="Calibri"/>
          <w:color w:val="000000" w:themeColor="text1"/>
        </w:rPr>
        <w:t>efine</w:t>
      </w:r>
      <w:r w:rsidRPr="7BBD1B22">
        <w:rPr>
          <w:rFonts w:ascii="Calibri" w:eastAsia="Calibri" w:hAnsi="Calibri" w:cs="Calibri"/>
          <w:color w:val="000000" w:themeColor="text1"/>
        </w:rPr>
        <w:t xml:space="preserve"> success as </w:t>
      </w:r>
      <w:r w:rsidR="001E2CDF" w:rsidRPr="7BBD1B22">
        <w:rPr>
          <w:rFonts w:ascii="Calibri" w:eastAsia="Calibri" w:hAnsi="Calibri" w:cs="Calibri"/>
          <w:color w:val="000000" w:themeColor="text1"/>
        </w:rPr>
        <w:t xml:space="preserve">verbal </w:t>
      </w:r>
      <w:r w:rsidR="00F133C9">
        <w:rPr>
          <w:rFonts w:ascii="Calibri" w:eastAsia="Calibri" w:hAnsi="Calibri" w:cs="Calibri"/>
          <w:color w:val="000000" w:themeColor="text1"/>
        </w:rPr>
        <w:t xml:space="preserve">or poster </w:t>
      </w:r>
      <w:r w:rsidRPr="7BBD1B22">
        <w:rPr>
          <w:rFonts w:ascii="Calibri" w:eastAsia="Calibri" w:hAnsi="Calibri" w:cs="Calibri"/>
          <w:color w:val="000000" w:themeColor="text1"/>
        </w:rPr>
        <w:t>presentation</w:t>
      </w:r>
      <w:r w:rsidR="001E2CDF" w:rsidRPr="7BBD1B22">
        <w:rPr>
          <w:rFonts w:ascii="Calibri" w:eastAsia="Calibri" w:hAnsi="Calibri" w:cs="Calibri"/>
          <w:color w:val="000000" w:themeColor="text1"/>
        </w:rPr>
        <w:t>s</w:t>
      </w:r>
      <w:r w:rsidRPr="7BBD1B22">
        <w:rPr>
          <w:rFonts w:ascii="Calibri" w:eastAsia="Calibri" w:hAnsi="Calibri" w:cs="Calibri"/>
          <w:color w:val="000000" w:themeColor="text1"/>
        </w:rPr>
        <w:t xml:space="preserve"> and manuscript preparation</w:t>
      </w:r>
      <w:r w:rsidR="000918E6" w:rsidRPr="7BBD1B22">
        <w:rPr>
          <w:rFonts w:ascii="Calibri" w:eastAsia="Calibri" w:hAnsi="Calibri" w:cs="Calibri"/>
          <w:color w:val="000000" w:themeColor="text1"/>
        </w:rPr>
        <w:t xml:space="preserve"> or </w:t>
      </w:r>
      <w:r w:rsidRPr="7BBD1B22">
        <w:rPr>
          <w:rFonts w:ascii="Calibri" w:eastAsia="Calibri" w:hAnsi="Calibri" w:cs="Calibri"/>
          <w:color w:val="000000" w:themeColor="text1"/>
        </w:rPr>
        <w:t>may also be targeted at building independent research skills.</w:t>
      </w:r>
      <w:r w:rsidR="003D22D1" w:rsidRPr="003D22D1">
        <w:rPr>
          <w:rFonts w:ascii="Calibri" w:eastAsia="Calibri" w:hAnsi="Calibri" w:cs="Calibri"/>
          <w:color w:val="000000" w:themeColor="text1"/>
          <w:vertAlign w:val="superscript"/>
        </w:rPr>
        <w:t>2</w:t>
      </w:r>
      <w:r w:rsidRPr="7BBD1B22">
        <w:rPr>
          <w:rFonts w:ascii="Calibri" w:eastAsia="Calibri" w:hAnsi="Calibri" w:cs="Calibri"/>
          <w:color w:val="000000" w:themeColor="text1"/>
        </w:rPr>
        <w:t xml:space="preserve"> On the flip side, success for a student engaged in a project may include smaller targets, such as completion of data collection or beginning to understand basic statistics</w:t>
      </w:r>
      <w:r w:rsidR="00354D8E" w:rsidRPr="7BBD1B22">
        <w:rPr>
          <w:rFonts w:ascii="Calibri" w:eastAsia="Calibri" w:hAnsi="Calibri" w:cs="Calibri"/>
          <w:color w:val="000000" w:themeColor="text1"/>
        </w:rPr>
        <w:t xml:space="preserve"> but may also include poster presentation and manuscript </w:t>
      </w:r>
      <w:r w:rsidR="005C589E" w:rsidRPr="7BBD1B22">
        <w:rPr>
          <w:rFonts w:ascii="Calibri" w:eastAsia="Calibri" w:hAnsi="Calibri" w:cs="Calibri"/>
          <w:color w:val="000000" w:themeColor="text1"/>
        </w:rPr>
        <w:t>participation</w:t>
      </w:r>
      <w:r w:rsidRPr="7BBD1B22">
        <w:rPr>
          <w:rFonts w:ascii="Calibri" w:eastAsia="Calibri" w:hAnsi="Calibri" w:cs="Calibri"/>
          <w:color w:val="000000" w:themeColor="text1"/>
        </w:rPr>
        <w:t>. Success may also look like being considered competitive for postgraduate positions or jobs based on robust research experiences.</w:t>
      </w:r>
      <w:r w:rsidR="003D22D1" w:rsidRPr="003D22D1">
        <w:rPr>
          <w:rFonts w:ascii="Calibri" w:eastAsia="Calibri" w:hAnsi="Calibri" w:cs="Calibri"/>
          <w:color w:val="000000" w:themeColor="text1"/>
          <w:vertAlign w:val="superscript"/>
        </w:rPr>
        <w:t>42</w:t>
      </w:r>
      <w:r w:rsidRPr="7BBD1B22">
        <w:rPr>
          <w:rFonts w:ascii="Calibri" w:eastAsia="Calibri" w:hAnsi="Calibri" w:cs="Calibri"/>
          <w:color w:val="000000" w:themeColor="text1"/>
        </w:rPr>
        <w:t xml:space="preserve"> </w:t>
      </w:r>
      <w:r w:rsidR="00354D8E" w:rsidRPr="7BBD1B22">
        <w:rPr>
          <w:rFonts w:ascii="Calibri" w:eastAsia="Calibri" w:hAnsi="Calibri" w:cs="Calibri"/>
          <w:color w:val="000000" w:themeColor="text1"/>
        </w:rPr>
        <w:t>How</w:t>
      </w:r>
      <w:r w:rsidR="6A9A6809" w:rsidRPr="7BBD1B22">
        <w:rPr>
          <w:rFonts w:ascii="Calibri" w:eastAsia="Calibri" w:hAnsi="Calibri" w:cs="Calibri"/>
          <w:color w:val="000000" w:themeColor="text1"/>
        </w:rPr>
        <w:t xml:space="preserve"> </w:t>
      </w:r>
      <w:r w:rsidR="00354D8E" w:rsidRPr="7BBD1B22">
        <w:rPr>
          <w:rFonts w:ascii="Calibri" w:eastAsia="Calibri" w:hAnsi="Calibri" w:cs="Calibri"/>
          <w:color w:val="000000" w:themeColor="text1"/>
        </w:rPr>
        <w:t>ever success is defined, l</w:t>
      </w:r>
      <w:r w:rsidRPr="7BBD1B22">
        <w:rPr>
          <w:rFonts w:ascii="Calibri" w:eastAsia="Calibri" w:hAnsi="Calibri" w:cs="Calibri"/>
          <w:color w:val="000000" w:themeColor="text1"/>
        </w:rPr>
        <w:t xml:space="preserve">earner objectives </w:t>
      </w:r>
      <w:r w:rsidR="00354D8E" w:rsidRPr="7BBD1B22">
        <w:rPr>
          <w:rFonts w:ascii="Calibri" w:eastAsia="Calibri" w:hAnsi="Calibri" w:cs="Calibri"/>
          <w:color w:val="000000" w:themeColor="text1"/>
        </w:rPr>
        <w:t xml:space="preserve">should </w:t>
      </w:r>
      <w:r w:rsidRPr="7BBD1B22">
        <w:rPr>
          <w:rFonts w:ascii="Calibri" w:eastAsia="Calibri" w:hAnsi="Calibri" w:cs="Calibri"/>
          <w:color w:val="000000" w:themeColor="text1"/>
        </w:rPr>
        <w:t xml:space="preserve">be included in </w:t>
      </w:r>
      <w:r w:rsidR="00354D8E" w:rsidRPr="7BBD1B22">
        <w:rPr>
          <w:rFonts w:ascii="Calibri" w:eastAsia="Calibri" w:hAnsi="Calibri" w:cs="Calibri"/>
          <w:color w:val="000000" w:themeColor="text1"/>
        </w:rPr>
        <w:t xml:space="preserve">a </w:t>
      </w:r>
      <w:r w:rsidRPr="7BBD1B22">
        <w:rPr>
          <w:rFonts w:ascii="Calibri" w:eastAsia="Calibri" w:hAnsi="Calibri" w:cs="Calibri"/>
          <w:color w:val="000000" w:themeColor="text1"/>
        </w:rPr>
        <w:t>research contract</w:t>
      </w:r>
      <w:r w:rsidR="00354D8E" w:rsidRPr="7BBD1B22">
        <w:rPr>
          <w:rFonts w:ascii="Calibri" w:eastAsia="Calibri" w:hAnsi="Calibri" w:cs="Calibri"/>
          <w:color w:val="000000" w:themeColor="text1"/>
        </w:rPr>
        <w:t>, as described above,</w:t>
      </w:r>
      <w:r w:rsidRPr="7BBD1B22">
        <w:rPr>
          <w:rFonts w:ascii="Calibri" w:eastAsia="Calibri" w:hAnsi="Calibri" w:cs="Calibri"/>
          <w:color w:val="000000" w:themeColor="text1"/>
        </w:rPr>
        <w:t xml:space="preserve"> to ensure objective and measurable research success on the learner end.</w:t>
      </w:r>
    </w:p>
    <w:p w14:paraId="2D0994C8" w14:textId="7BBA910D" w:rsidR="62A00655" w:rsidRDefault="001D6574" w:rsidP="00354D8E">
      <w:pPr>
        <w:spacing w:line="480" w:lineRule="auto"/>
        <w:ind w:firstLine="720"/>
        <w:rPr>
          <w:rFonts w:ascii="Calibri" w:eastAsia="Calibri" w:hAnsi="Calibri" w:cs="Calibri"/>
          <w:color w:val="000000" w:themeColor="text1"/>
        </w:rPr>
      </w:pPr>
      <w:r w:rsidRPr="42F52C13">
        <w:rPr>
          <w:rFonts w:ascii="Calibri" w:eastAsia="Calibri" w:hAnsi="Calibri" w:cs="Calibri"/>
          <w:color w:val="000000" w:themeColor="text1"/>
        </w:rPr>
        <w:t xml:space="preserve">From a </w:t>
      </w:r>
      <w:r w:rsidR="00354D8E" w:rsidRPr="42F52C13">
        <w:rPr>
          <w:rFonts w:ascii="Calibri" w:eastAsia="Calibri" w:hAnsi="Calibri" w:cs="Calibri"/>
          <w:color w:val="000000" w:themeColor="text1"/>
        </w:rPr>
        <w:t xml:space="preserve">mentor </w:t>
      </w:r>
      <w:r w:rsidRPr="42F52C13">
        <w:rPr>
          <w:rFonts w:ascii="Calibri" w:eastAsia="Calibri" w:hAnsi="Calibri" w:cs="Calibri"/>
          <w:color w:val="000000" w:themeColor="text1"/>
        </w:rPr>
        <w:t>standpoint, research success should take a more holistic approach following several considerations. For faculty, important measures are what count</w:t>
      </w:r>
      <w:r w:rsidR="00623344" w:rsidRPr="42F52C13">
        <w:rPr>
          <w:rFonts w:ascii="Calibri" w:eastAsia="Calibri" w:hAnsi="Calibri" w:cs="Calibri"/>
          <w:color w:val="000000" w:themeColor="text1"/>
        </w:rPr>
        <w:t>s</w:t>
      </w:r>
      <w:r w:rsidRPr="42F52C13">
        <w:rPr>
          <w:rFonts w:ascii="Calibri" w:eastAsia="Calibri" w:hAnsi="Calibri" w:cs="Calibri"/>
          <w:color w:val="000000" w:themeColor="text1"/>
        </w:rPr>
        <w:t xml:space="preserve"> for promotion and tenure. Posters versus manuscripts, authorship </w:t>
      </w:r>
      <w:r w:rsidR="00623344" w:rsidRPr="42F52C13">
        <w:rPr>
          <w:rFonts w:ascii="Calibri" w:eastAsia="Calibri" w:hAnsi="Calibri" w:cs="Calibri"/>
          <w:color w:val="000000" w:themeColor="text1"/>
        </w:rPr>
        <w:t>order</w:t>
      </w:r>
      <w:r w:rsidRPr="42F52C13">
        <w:rPr>
          <w:rFonts w:ascii="Calibri" w:eastAsia="Calibri" w:hAnsi="Calibri" w:cs="Calibri"/>
          <w:color w:val="000000" w:themeColor="text1"/>
        </w:rPr>
        <w:t>,</w:t>
      </w:r>
      <w:r w:rsidR="00F3510A" w:rsidRPr="42F52C13">
        <w:rPr>
          <w:rFonts w:ascii="Calibri" w:eastAsia="Calibri" w:hAnsi="Calibri" w:cs="Calibri"/>
          <w:color w:val="000000" w:themeColor="text1"/>
        </w:rPr>
        <w:t xml:space="preserve"> and</w:t>
      </w:r>
      <w:r w:rsidRPr="42F52C13">
        <w:rPr>
          <w:rFonts w:ascii="Calibri" w:eastAsia="Calibri" w:hAnsi="Calibri" w:cs="Calibri"/>
          <w:color w:val="000000" w:themeColor="text1"/>
        </w:rPr>
        <w:t xml:space="preserve"> grants versus publications may all help to define success.</w:t>
      </w:r>
      <w:r w:rsidR="003D22D1" w:rsidRPr="003D22D1">
        <w:rPr>
          <w:rFonts w:ascii="Calibri" w:eastAsia="Calibri" w:hAnsi="Calibri" w:cs="Calibri"/>
          <w:color w:val="000000" w:themeColor="text1"/>
          <w:vertAlign w:val="superscript"/>
        </w:rPr>
        <w:t>45</w:t>
      </w:r>
      <w:r w:rsidRPr="42F52C13">
        <w:rPr>
          <w:rFonts w:ascii="Calibri" w:eastAsia="Calibri" w:hAnsi="Calibri" w:cs="Calibri"/>
          <w:color w:val="000000" w:themeColor="text1"/>
        </w:rPr>
        <w:t xml:space="preserve"> </w:t>
      </w:r>
      <w:r w:rsidR="00491C20" w:rsidRPr="42F52C13">
        <w:rPr>
          <w:rFonts w:ascii="Calibri" w:eastAsia="Calibri" w:hAnsi="Calibri" w:cs="Calibri"/>
          <w:color w:val="000000" w:themeColor="text1"/>
        </w:rPr>
        <w:t xml:space="preserve">For non-faculty, full-time clinicians, higher priority may be placed on completing required medication reviews or follow up on quality improvement initiatives that must be completed for the institution. </w:t>
      </w:r>
      <w:r w:rsidRPr="42F52C13">
        <w:rPr>
          <w:rFonts w:ascii="Calibri" w:eastAsia="Calibri" w:hAnsi="Calibri" w:cs="Calibri"/>
          <w:color w:val="000000" w:themeColor="text1"/>
        </w:rPr>
        <w:t xml:space="preserve">An additional consideration for </w:t>
      </w:r>
      <w:r w:rsidR="00ED06D2" w:rsidRPr="42F52C13">
        <w:rPr>
          <w:rFonts w:ascii="Calibri" w:eastAsia="Calibri" w:hAnsi="Calibri" w:cs="Calibri"/>
          <w:color w:val="000000" w:themeColor="text1"/>
        </w:rPr>
        <w:t>mentors</w:t>
      </w:r>
      <w:r w:rsidRPr="42F52C13">
        <w:rPr>
          <w:rFonts w:ascii="Calibri" w:eastAsia="Calibri" w:hAnsi="Calibri" w:cs="Calibri"/>
          <w:color w:val="000000" w:themeColor="text1"/>
        </w:rPr>
        <w:t xml:space="preserve"> is obtaining the most potential outputs for each research project</w:t>
      </w:r>
      <w:r w:rsidR="00F133C9">
        <w:rPr>
          <w:rFonts w:ascii="Calibri" w:eastAsia="Calibri" w:hAnsi="Calibri" w:cs="Calibri"/>
          <w:color w:val="000000" w:themeColor="text1"/>
        </w:rPr>
        <w:t xml:space="preserve"> to enhance dissemination</w:t>
      </w:r>
      <w:r w:rsidRPr="42F52C13">
        <w:rPr>
          <w:rFonts w:ascii="Calibri" w:eastAsia="Calibri" w:hAnsi="Calibri" w:cs="Calibri"/>
          <w:color w:val="000000" w:themeColor="text1"/>
        </w:rPr>
        <w:t xml:space="preserve">. </w:t>
      </w:r>
      <w:r w:rsidR="00491C20" w:rsidRPr="42F52C13">
        <w:rPr>
          <w:rFonts w:ascii="Calibri" w:eastAsia="Calibri" w:hAnsi="Calibri" w:cs="Calibri"/>
          <w:color w:val="000000" w:themeColor="text1"/>
        </w:rPr>
        <w:t>As mentioned previously, if a multi-arm project is feasible</w:t>
      </w:r>
      <w:r w:rsidRPr="42F52C13">
        <w:rPr>
          <w:rFonts w:ascii="Calibri" w:eastAsia="Calibri" w:hAnsi="Calibri" w:cs="Calibri"/>
          <w:color w:val="000000" w:themeColor="text1"/>
        </w:rPr>
        <w:t xml:space="preserve">, one project </w:t>
      </w:r>
      <w:r w:rsidR="00491C20" w:rsidRPr="42F52C13">
        <w:rPr>
          <w:rFonts w:ascii="Calibri" w:eastAsia="Calibri" w:hAnsi="Calibri" w:cs="Calibri"/>
          <w:color w:val="000000" w:themeColor="text1"/>
        </w:rPr>
        <w:t>could</w:t>
      </w:r>
      <w:r w:rsidRPr="42F52C13">
        <w:rPr>
          <w:rFonts w:ascii="Calibri" w:eastAsia="Calibri" w:hAnsi="Calibri" w:cs="Calibri"/>
          <w:color w:val="000000" w:themeColor="text1"/>
        </w:rPr>
        <w:t xml:space="preserve"> </w:t>
      </w:r>
      <w:r w:rsidR="00491C20" w:rsidRPr="42F52C13">
        <w:rPr>
          <w:rFonts w:ascii="Calibri" w:eastAsia="Calibri" w:hAnsi="Calibri" w:cs="Calibri"/>
          <w:color w:val="000000" w:themeColor="text1"/>
        </w:rPr>
        <w:t xml:space="preserve">potentially be </w:t>
      </w:r>
      <w:r w:rsidRPr="42F52C13">
        <w:rPr>
          <w:rFonts w:ascii="Calibri" w:eastAsia="Calibri" w:hAnsi="Calibri" w:cs="Calibri"/>
          <w:color w:val="000000" w:themeColor="text1"/>
        </w:rPr>
        <w:t>disseminated as multiple posters, a platform presentation, and multiple peer reviewed manuscripts</w:t>
      </w:r>
      <w:r w:rsidR="00491C20" w:rsidRPr="42F52C13">
        <w:rPr>
          <w:rFonts w:ascii="Calibri" w:eastAsia="Calibri" w:hAnsi="Calibri" w:cs="Calibri"/>
          <w:color w:val="000000" w:themeColor="text1"/>
        </w:rPr>
        <w:t>.</w:t>
      </w:r>
      <w:r w:rsidRPr="42F52C13">
        <w:rPr>
          <w:rFonts w:ascii="Calibri" w:eastAsia="Calibri" w:hAnsi="Calibri" w:cs="Calibri"/>
          <w:color w:val="000000" w:themeColor="text1"/>
        </w:rPr>
        <w:t xml:space="preserve"> </w:t>
      </w:r>
      <w:r w:rsidR="00491C20" w:rsidRPr="42F52C13">
        <w:rPr>
          <w:rFonts w:ascii="Calibri" w:eastAsia="Calibri" w:hAnsi="Calibri" w:cs="Calibri"/>
          <w:color w:val="000000" w:themeColor="text1"/>
        </w:rPr>
        <w:t>It is important to c</w:t>
      </w:r>
      <w:r w:rsidRPr="42F52C13">
        <w:rPr>
          <w:rFonts w:ascii="Calibri" w:eastAsia="Calibri" w:hAnsi="Calibri" w:cs="Calibri"/>
          <w:color w:val="000000" w:themeColor="text1"/>
        </w:rPr>
        <w:t xml:space="preserve">onsider the stages of </w:t>
      </w:r>
      <w:r w:rsidR="00491C20" w:rsidRPr="42F52C13">
        <w:rPr>
          <w:rFonts w:ascii="Calibri" w:eastAsia="Calibri" w:hAnsi="Calibri" w:cs="Calibri"/>
          <w:color w:val="000000" w:themeColor="text1"/>
        </w:rPr>
        <w:t xml:space="preserve">the </w:t>
      </w:r>
      <w:r w:rsidRPr="42F52C13">
        <w:rPr>
          <w:rFonts w:ascii="Calibri" w:eastAsia="Calibri" w:hAnsi="Calibri" w:cs="Calibri"/>
          <w:color w:val="000000" w:themeColor="text1"/>
        </w:rPr>
        <w:t>research</w:t>
      </w:r>
      <w:r w:rsidR="00491C20" w:rsidRPr="42F52C13">
        <w:rPr>
          <w:rFonts w:ascii="Calibri" w:eastAsia="Calibri" w:hAnsi="Calibri" w:cs="Calibri"/>
          <w:color w:val="000000" w:themeColor="text1"/>
        </w:rPr>
        <w:t xml:space="preserve"> process</w:t>
      </w:r>
      <w:r w:rsidRPr="42F52C13">
        <w:rPr>
          <w:rFonts w:ascii="Calibri" w:eastAsia="Calibri" w:hAnsi="Calibri" w:cs="Calibri"/>
          <w:color w:val="000000" w:themeColor="text1"/>
        </w:rPr>
        <w:t xml:space="preserve"> and where there are opportunities for dissemination, including timing of local or national meetings, alongside crafting the manuscript. </w:t>
      </w:r>
      <w:r w:rsidR="005D63D8">
        <w:rPr>
          <w:rFonts w:ascii="Calibri" w:eastAsia="Calibri" w:hAnsi="Calibri" w:cs="Calibri"/>
          <w:color w:val="000000" w:themeColor="text1"/>
        </w:rPr>
        <w:t>T</w:t>
      </w:r>
      <w:r w:rsidR="00491C20" w:rsidRPr="42F52C13">
        <w:rPr>
          <w:rFonts w:ascii="Calibri" w:eastAsia="Calibri" w:hAnsi="Calibri" w:cs="Calibri"/>
          <w:color w:val="000000" w:themeColor="text1"/>
        </w:rPr>
        <w:t xml:space="preserve">hese </w:t>
      </w:r>
      <w:r w:rsidRPr="42F52C13">
        <w:rPr>
          <w:rFonts w:ascii="Calibri" w:eastAsia="Calibri" w:hAnsi="Calibri" w:cs="Calibri"/>
          <w:color w:val="000000" w:themeColor="text1"/>
        </w:rPr>
        <w:t>targets can also help frame timelines for learners if seeking publication prior to residency or job application cycles</w:t>
      </w:r>
      <w:r w:rsidR="47CEC13A" w:rsidRPr="42F52C13">
        <w:rPr>
          <w:rFonts w:ascii="Calibri" w:eastAsia="Calibri" w:hAnsi="Calibri" w:cs="Calibri"/>
          <w:color w:val="000000" w:themeColor="text1"/>
        </w:rPr>
        <w:t xml:space="preserve">. </w:t>
      </w:r>
    </w:p>
    <w:p w14:paraId="52B6C2B5" w14:textId="057614C4" w:rsidR="31CC6737" w:rsidRDefault="00491C20" w:rsidP="00F56DCC">
      <w:pPr>
        <w:spacing w:line="480" w:lineRule="auto"/>
        <w:rPr>
          <w:rFonts w:ascii="Calibri" w:eastAsia="Calibri" w:hAnsi="Calibri" w:cs="Calibri"/>
          <w:color w:val="000000" w:themeColor="text1"/>
        </w:rPr>
      </w:pPr>
      <w:r>
        <w:rPr>
          <w:rFonts w:ascii="Calibri" w:eastAsia="Calibri" w:hAnsi="Calibri" w:cs="Calibri"/>
          <w:b/>
          <w:bCs/>
          <w:color w:val="000000" w:themeColor="text1"/>
        </w:rPr>
        <w:t xml:space="preserve">5. </w:t>
      </w:r>
      <w:r w:rsidR="31CC6737" w:rsidRPr="0B418DC4">
        <w:rPr>
          <w:rFonts w:ascii="Calibri" w:eastAsia="Calibri" w:hAnsi="Calibri" w:cs="Calibri"/>
          <w:b/>
          <w:bCs/>
          <w:color w:val="000000" w:themeColor="text1"/>
        </w:rPr>
        <w:t>Conclusion</w:t>
      </w:r>
    </w:p>
    <w:p w14:paraId="2310843A" w14:textId="7FAF08BE" w:rsidR="31CC6737" w:rsidRDefault="31CC6737" w:rsidP="00F56DCC">
      <w:pPr>
        <w:spacing w:line="480" w:lineRule="auto"/>
        <w:ind w:firstLine="720"/>
        <w:rPr>
          <w:rFonts w:ascii="Calibri" w:eastAsia="Calibri" w:hAnsi="Calibri" w:cs="Calibri"/>
          <w:color w:val="000000" w:themeColor="text1"/>
        </w:rPr>
      </w:pPr>
      <w:r w:rsidRPr="7BBD1B22">
        <w:rPr>
          <w:rFonts w:ascii="Calibri" w:eastAsia="Calibri" w:hAnsi="Calibri" w:cs="Calibri"/>
          <w:color w:val="000000" w:themeColor="text1"/>
        </w:rPr>
        <w:lastRenderedPageBreak/>
        <w:t xml:space="preserve">Incorporating learners into research and </w:t>
      </w:r>
      <w:r w:rsidR="00F133C9">
        <w:rPr>
          <w:rFonts w:ascii="Calibri" w:eastAsia="Calibri" w:hAnsi="Calibri" w:cs="Calibri"/>
          <w:color w:val="000000" w:themeColor="text1"/>
        </w:rPr>
        <w:t>QI</w:t>
      </w:r>
      <w:r w:rsidRPr="7BBD1B22">
        <w:rPr>
          <w:rFonts w:ascii="Calibri" w:eastAsia="Calibri" w:hAnsi="Calibri" w:cs="Calibri"/>
          <w:color w:val="000000" w:themeColor="text1"/>
        </w:rPr>
        <w:t xml:space="preserve"> projects can provide immense</w:t>
      </w:r>
      <w:r w:rsidR="739D7B0D" w:rsidRPr="7BBD1B22">
        <w:rPr>
          <w:rFonts w:ascii="Calibri" w:eastAsia="Calibri" w:hAnsi="Calibri" w:cs="Calibri"/>
          <w:color w:val="000000" w:themeColor="text1"/>
        </w:rPr>
        <w:t xml:space="preserve">, </w:t>
      </w:r>
      <w:r w:rsidR="5C2E3CE0" w:rsidRPr="7BBD1B22">
        <w:rPr>
          <w:rFonts w:ascii="Calibri" w:eastAsia="Calibri" w:hAnsi="Calibri" w:cs="Calibri"/>
          <w:color w:val="000000" w:themeColor="text1"/>
        </w:rPr>
        <w:t>simultaneous</w:t>
      </w:r>
      <w:r w:rsidRPr="7BBD1B22">
        <w:rPr>
          <w:rFonts w:ascii="Calibri" w:eastAsia="Calibri" w:hAnsi="Calibri" w:cs="Calibri"/>
          <w:color w:val="000000" w:themeColor="text1"/>
        </w:rPr>
        <w:t xml:space="preserve"> </w:t>
      </w:r>
      <w:r w:rsidR="6E91D990" w:rsidRPr="7BBD1B22">
        <w:rPr>
          <w:rFonts w:ascii="Calibri" w:eastAsia="Calibri" w:hAnsi="Calibri" w:cs="Calibri"/>
          <w:color w:val="000000" w:themeColor="text1"/>
        </w:rPr>
        <w:t>benefits to</w:t>
      </w:r>
      <w:r w:rsidRPr="7BBD1B22">
        <w:rPr>
          <w:rFonts w:ascii="Calibri" w:eastAsia="Calibri" w:hAnsi="Calibri" w:cs="Calibri"/>
          <w:color w:val="000000" w:themeColor="text1"/>
        </w:rPr>
        <w:t xml:space="preserve"> the learner, the research mentor, and the institution</w:t>
      </w:r>
      <w:r w:rsidR="1C66A090" w:rsidRPr="7BBD1B22">
        <w:rPr>
          <w:rFonts w:ascii="Calibri" w:eastAsia="Calibri" w:hAnsi="Calibri" w:cs="Calibri"/>
          <w:color w:val="000000" w:themeColor="text1"/>
        </w:rPr>
        <w:t xml:space="preserve">. </w:t>
      </w:r>
      <w:r w:rsidR="00F133C9" w:rsidRPr="7BBD1B22">
        <w:rPr>
          <w:rFonts w:ascii="Calibri" w:eastAsia="Calibri" w:hAnsi="Calibri" w:cs="Calibri"/>
          <w:color w:val="000000" w:themeColor="text1"/>
        </w:rPr>
        <w:t>Several</w:t>
      </w:r>
      <w:r w:rsidR="1C66A090" w:rsidRPr="7BBD1B22">
        <w:rPr>
          <w:rFonts w:ascii="Calibri" w:eastAsia="Calibri" w:hAnsi="Calibri" w:cs="Calibri"/>
          <w:color w:val="000000" w:themeColor="text1"/>
        </w:rPr>
        <w:t xml:space="preserve"> barriers or challenges may exist initially or surface during the research process. </w:t>
      </w:r>
      <w:r w:rsidR="63D1E53A" w:rsidRPr="7BBD1B22">
        <w:rPr>
          <w:rFonts w:ascii="Calibri" w:eastAsia="Calibri" w:hAnsi="Calibri" w:cs="Calibri"/>
          <w:color w:val="000000" w:themeColor="text1"/>
        </w:rPr>
        <w:t xml:space="preserve">This opinion paper addresses these benefits and barriers that both learners and mentors should be aware of, as well as strategies to overcome them. To expand on this, </w:t>
      </w:r>
      <w:r w:rsidR="28592EAE" w:rsidRPr="7BBD1B22">
        <w:rPr>
          <w:rFonts w:ascii="Calibri" w:eastAsia="Calibri" w:hAnsi="Calibri" w:cs="Calibri"/>
          <w:color w:val="000000" w:themeColor="text1"/>
        </w:rPr>
        <w:t xml:space="preserve">a toolkit </w:t>
      </w:r>
      <w:r w:rsidR="76733D2A" w:rsidRPr="7BBD1B22">
        <w:rPr>
          <w:rFonts w:ascii="Calibri" w:eastAsia="Calibri" w:hAnsi="Calibri" w:cs="Calibri"/>
          <w:color w:val="000000" w:themeColor="text1"/>
        </w:rPr>
        <w:t xml:space="preserve">for both mentors and learners </w:t>
      </w:r>
      <w:r w:rsidR="28592EAE" w:rsidRPr="7BBD1B22">
        <w:rPr>
          <w:rFonts w:ascii="Calibri" w:eastAsia="Calibri" w:hAnsi="Calibri" w:cs="Calibri"/>
          <w:color w:val="000000" w:themeColor="text1"/>
        </w:rPr>
        <w:t>with possible timelines</w:t>
      </w:r>
      <w:r w:rsidR="00256759" w:rsidRPr="7BBD1B22">
        <w:rPr>
          <w:rFonts w:ascii="Calibri" w:eastAsia="Calibri" w:hAnsi="Calibri" w:cs="Calibri"/>
          <w:color w:val="000000" w:themeColor="text1"/>
        </w:rPr>
        <w:t xml:space="preserve"> to help with research planning</w:t>
      </w:r>
      <w:r w:rsidR="28592EAE" w:rsidRPr="7BBD1B22">
        <w:rPr>
          <w:rFonts w:ascii="Calibri" w:eastAsia="Calibri" w:hAnsi="Calibri" w:cs="Calibri"/>
          <w:color w:val="000000" w:themeColor="text1"/>
        </w:rPr>
        <w:t xml:space="preserve">, as well as case vignettes </w:t>
      </w:r>
      <w:r w:rsidR="00D63963" w:rsidRPr="7BBD1B22">
        <w:rPr>
          <w:rFonts w:ascii="Calibri" w:eastAsia="Calibri" w:hAnsi="Calibri" w:cs="Calibri"/>
          <w:color w:val="000000" w:themeColor="text1"/>
        </w:rPr>
        <w:t xml:space="preserve">is provided </w:t>
      </w:r>
      <w:r w:rsidR="28592EAE" w:rsidRPr="7BBD1B22">
        <w:rPr>
          <w:rFonts w:ascii="Calibri" w:eastAsia="Calibri" w:hAnsi="Calibri" w:cs="Calibri"/>
          <w:color w:val="000000" w:themeColor="text1"/>
        </w:rPr>
        <w:t>to help apply some of the information covered in the paper (Appendix 1).</w:t>
      </w:r>
      <w:r w:rsidR="00D63963" w:rsidRPr="7BBD1B22">
        <w:rPr>
          <w:rFonts w:ascii="Calibri" w:eastAsia="Calibri" w:hAnsi="Calibri" w:cs="Calibri"/>
          <w:color w:val="000000" w:themeColor="text1"/>
        </w:rPr>
        <w:t xml:space="preserve"> Embracing the research process as a learning opportunity can be a fruitful experience for all involved. </w:t>
      </w:r>
    </w:p>
    <w:p w14:paraId="498E53E4" w14:textId="77777777" w:rsidR="00D63963" w:rsidRDefault="00D63963">
      <w:pPr>
        <w:rPr>
          <w:b/>
          <w:bCs/>
        </w:rPr>
      </w:pPr>
    </w:p>
    <w:p w14:paraId="5D4A93AE" w14:textId="62F6889A" w:rsidR="00FF5169" w:rsidRDefault="00824114" w:rsidP="00463F1E">
      <w:pPr>
        <w:spacing w:line="480" w:lineRule="auto"/>
      </w:pPr>
      <w:r w:rsidRPr="23F99977">
        <w:rPr>
          <w:b/>
          <w:bCs/>
        </w:rPr>
        <w:t>References</w:t>
      </w:r>
      <w:r w:rsidR="00DD7C61">
        <w:rPr>
          <w:b/>
          <w:bCs/>
        </w:rPr>
        <w:t xml:space="preserve"> </w:t>
      </w:r>
      <w:r w:rsidR="00DD7C61" w:rsidRPr="0EFD6715">
        <w:rPr>
          <w:rStyle w:val="eop"/>
          <w:rFonts w:ascii="Calibri" w:hAnsi="Calibri" w:cs="Calibri"/>
          <w:b/>
          <w:bCs/>
        </w:rPr>
        <w:t>(</w:t>
      </w:r>
      <w:r w:rsidR="00DD7C61">
        <w:rPr>
          <w:rStyle w:val="eop"/>
          <w:rFonts w:ascii="Calibri" w:hAnsi="Calibri" w:cs="Calibri"/>
          <w:b/>
          <w:bCs/>
        </w:rPr>
        <w:t>50 Reference</w:t>
      </w:r>
      <w:r w:rsidR="00DD7C61" w:rsidRPr="0EFD6715">
        <w:rPr>
          <w:rStyle w:val="eop"/>
          <w:rFonts w:ascii="Calibri" w:hAnsi="Calibri" w:cs="Calibri"/>
          <w:b/>
          <w:bCs/>
        </w:rPr>
        <w:t xml:space="preserve"> Limit; currently:</w:t>
      </w:r>
      <w:r w:rsidR="00DD7C61">
        <w:rPr>
          <w:rStyle w:val="eop"/>
          <w:rFonts w:ascii="Calibri" w:hAnsi="Calibri" w:cs="Calibri"/>
          <w:b/>
          <w:bCs/>
        </w:rPr>
        <w:t xml:space="preserve"> 47 references</w:t>
      </w:r>
      <w:r w:rsidR="00DD7C61" w:rsidRPr="0EFD6715">
        <w:rPr>
          <w:rStyle w:val="eop"/>
          <w:rFonts w:ascii="Calibri" w:hAnsi="Calibri" w:cs="Calibri"/>
          <w:b/>
          <w:bCs/>
        </w:rPr>
        <w:t>)</w:t>
      </w:r>
    </w:p>
    <w:p w14:paraId="38A97D6E" w14:textId="77777777" w:rsidR="00463F1E" w:rsidRDefault="00463F1E" w:rsidP="00463F1E">
      <w:pPr>
        <w:pStyle w:val="ListParagraph"/>
        <w:numPr>
          <w:ilvl w:val="0"/>
          <w:numId w:val="27"/>
        </w:numPr>
        <w:spacing w:line="480" w:lineRule="auto"/>
      </w:pPr>
      <w:r w:rsidRPr="002D47C5">
        <w:t>Accreditation Council for Pharmacy Education. Accreditation standards and key elements for the professional program in pharmacy leading to the doctor of pharmacy degree. Standards 2016. https://www.acpe-accredit.org/pdf/Standards2016FINAL.pdf. Accessed July 12, 2023</w:t>
      </w:r>
      <w:r>
        <w:t>.</w:t>
      </w:r>
    </w:p>
    <w:p w14:paraId="593DB236" w14:textId="77777777" w:rsidR="00463F1E" w:rsidRPr="002D47C5" w:rsidRDefault="00463F1E" w:rsidP="00463F1E">
      <w:pPr>
        <w:pStyle w:val="ListParagraph"/>
        <w:numPr>
          <w:ilvl w:val="0"/>
          <w:numId w:val="27"/>
        </w:numPr>
        <w:spacing w:line="480" w:lineRule="auto"/>
      </w:pPr>
      <w:r w:rsidRPr="002D47C5">
        <w:t>American Society of Health-System Pharmacists. ASHP accreditation standard for postgraduate pharmacy residency programs. PGY1 pharmacy residencies. https://www.ashp.org/-/media/assets/professional-development/residencies/docs/examples/ASHP-Accreditation-Standard-for-Postgraduate-Residency-Programs-effective-July-2023.pdf</w:t>
      </w:r>
      <w:r>
        <w:t>. Accessed July 12, 2023.</w:t>
      </w:r>
    </w:p>
    <w:p w14:paraId="2EEAA5DF" w14:textId="77777777" w:rsidR="00463F1E" w:rsidRDefault="00463F1E" w:rsidP="00463F1E">
      <w:pPr>
        <w:pStyle w:val="ListParagraph"/>
        <w:numPr>
          <w:ilvl w:val="0"/>
          <w:numId w:val="27"/>
        </w:numPr>
        <w:spacing w:line="480" w:lineRule="auto"/>
      </w:pPr>
      <w:r>
        <w:t>American College of Clinical Pharmacy. The definition of clinical pharmacy. Pharmacotherapy. 2008;28(6):816-817. doi:10.1592/phco.28.6.816</w:t>
      </w:r>
    </w:p>
    <w:p w14:paraId="7AEA3732" w14:textId="77777777" w:rsidR="00463F1E" w:rsidRDefault="00463F1E" w:rsidP="00463F1E">
      <w:pPr>
        <w:pStyle w:val="ListParagraph"/>
        <w:numPr>
          <w:ilvl w:val="0"/>
          <w:numId w:val="27"/>
        </w:numPr>
        <w:spacing w:line="480" w:lineRule="auto"/>
      </w:pPr>
      <w:r>
        <w:t xml:space="preserve">Karnes JH, Asempa T, Barretto JN, et al. The essential research curriculum for doctor of pharmacy degree programs – 2021. </w:t>
      </w:r>
      <w:r w:rsidRPr="00F133C9">
        <w:rPr>
          <w:i/>
          <w:iCs/>
        </w:rPr>
        <w:t>J Am Coll Clin Pharm</w:t>
      </w:r>
      <w:r>
        <w:t>. 2022;5(3):358-365. doi:10.1002/jac5.1603</w:t>
      </w:r>
    </w:p>
    <w:p w14:paraId="06547B8B" w14:textId="77777777" w:rsidR="00463F1E" w:rsidRDefault="00463F1E" w:rsidP="00463F1E">
      <w:pPr>
        <w:pStyle w:val="ListParagraph"/>
        <w:numPr>
          <w:ilvl w:val="0"/>
          <w:numId w:val="27"/>
        </w:numPr>
        <w:spacing w:line="480" w:lineRule="auto"/>
      </w:pPr>
      <w:r>
        <w:t xml:space="preserve">McLaughlin JE, Dean MJ, Mumper RJ, Blouin RA, Roth MT. A roadmap for educational research in pharmacy. </w:t>
      </w:r>
      <w:r w:rsidRPr="00F133C9">
        <w:rPr>
          <w:i/>
          <w:iCs/>
        </w:rPr>
        <w:t>Am J Pharm Educ.</w:t>
      </w:r>
      <w:r>
        <w:t xml:space="preserve"> 2013;77(10):218. doi:10.5688/ajpe7710218</w:t>
      </w:r>
    </w:p>
    <w:p w14:paraId="72143911" w14:textId="77777777" w:rsidR="00463F1E" w:rsidRDefault="00463F1E" w:rsidP="00463F1E">
      <w:pPr>
        <w:pStyle w:val="ListParagraph"/>
        <w:numPr>
          <w:ilvl w:val="0"/>
          <w:numId w:val="27"/>
        </w:numPr>
        <w:spacing w:line="480" w:lineRule="auto"/>
      </w:pPr>
      <w:r>
        <w:lastRenderedPageBreak/>
        <w:t xml:space="preserve">Deal EN, Stranges PM, Maxwell WD, et al. The importance of research and scholarly activity in pharmacy training. </w:t>
      </w:r>
      <w:r w:rsidRPr="00F133C9">
        <w:rPr>
          <w:i/>
          <w:iCs/>
        </w:rPr>
        <w:t xml:space="preserve">Pharmacotherapy. </w:t>
      </w:r>
      <w:r>
        <w:t>2016;36(12):e200-e205. doi:10.1002/phar.1864</w:t>
      </w:r>
    </w:p>
    <w:p w14:paraId="0CDE3C83" w14:textId="77777777" w:rsidR="00463F1E" w:rsidRDefault="00463F1E" w:rsidP="00463F1E">
      <w:pPr>
        <w:pStyle w:val="ListParagraph"/>
        <w:numPr>
          <w:ilvl w:val="0"/>
          <w:numId w:val="27"/>
        </w:numPr>
        <w:spacing w:line="480" w:lineRule="auto"/>
      </w:pPr>
      <w:r>
        <w:t xml:space="preserve">Goodlet KJ, Nailor MD. Involving pharmacy students in clinical research: Tips and best practices. </w:t>
      </w:r>
      <w:r w:rsidRPr="00F133C9">
        <w:rPr>
          <w:i/>
          <w:iCs/>
        </w:rPr>
        <w:t>Am J Health Syst Pharm.</w:t>
      </w:r>
      <w:r>
        <w:t xml:space="preserve"> 2020;77(23):1945-1948. doi:10.1093/ajhp/zxaa290</w:t>
      </w:r>
    </w:p>
    <w:p w14:paraId="44C42077" w14:textId="77777777" w:rsidR="00463F1E" w:rsidRDefault="00463F1E" w:rsidP="00463F1E">
      <w:pPr>
        <w:pStyle w:val="ListParagraph"/>
        <w:numPr>
          <w:ilvl w:val="0"/>
          <w:numId w:val="27"/>
        </w:numPr>
        <w:spacing w:line="480" w:lineRule="auto"/>
      </w:pPr>
      <w:r>
        <w:t xml:space="preserve">Mersfelder TL, Sohn M, Girand HL. Factors influencing the involvement of doctor of pharmacy students in research and scholarship projects. </w:t>
      </w:r>
      <w:r w:rsidRPr="00F133C9">
        <w:rPr>
          <w:i/>
          <w:iCs/>
        </w:rPr>
        <w:t>Curr Pharm Teach Learn.</w:t>
      </w:r>
      <w:r>
        <w:t xml:space="preserve"> 2021;13(7):796-803. doi:10.1016/j.cptl.2021.03.020</w:t>
      </w:r>
    </w:p>
    <w:p w14:paraId="331E5BE2" w14:textId="77777777" w:rsidR="00463F1E" w:rsidRDefault="00463F1E" w:rsidP="00463F1E">
      <w:pPr>
        <w:pStyle w:val="ListParagraph"/>
        <w:numPr>
          <w:ilvl w:val="0"/>
          <w:numId w:val="27"/>
        </w:numPr>
        <w:spacing w:line="480" w:lineRule="auto"/>
      </w:pPr>
      <w:r>
        <w:t xml:space="preserve">Cooley JH, Beaudrie-Nunn A, Slack M, Warholak TL. Identifying student research project impact using the Buxton and Hanney Payback Framework. </w:t>
      </w:r>
      <w:r w:rsidRPr="00F133C9">
        <w:rPr>
          <w:i/>
          <w:iCs/>
        </w:rPr>
        <w:t>Am J Pharm Educ.</w:t>
      </w:r>
      <w:r>
        <w:t xml:space="preserve"> 2023;87(4):ajpe9035. doi:10.5688/ajpe9035</w:t>
      </w:r>
    </w:p>
    <w:p w14:paraId="2EB7C119" w14:textId="77777777" w:rsidR="00463F1E" w:rsidRDefault="00463F1E" w:rsidP="00463F1E">
      <w:pPr>
        <w:pStyle w:val="ListParagraph"/>
        <w:numPr>
          <w:ilvl w:val="0"/>
          <w:numId w:val="27"/>
        </w:numPr>
        <w:spacing w:line="480" w:lineRule="auto"/>
      </w:pPr>
      <w:r>
        <w:t xml:space="preserve">Vouri SM, Stranges PM, Burke JM, Micek S, Pitlick MK, Wenger P. The importance of research during pharmacy residency training. </w:t>
      </w:r>
      <w:r w:rsidRPr="00F133C9">
        <w:rPr>
          <w:i/>
          <w:iCs/>
        </w:rPr>
        <w:t xml:space="preserve">Curr Pharm Teach Learn. </w:t>
      </w:r>
      <w:r>
        <w:t>2015;7(6):892-898. doi:10.1016/j.cptl.2015.08.018</w:t>
      </w:r>
    </w:p>
    <w:p w14:paraId="5A77A74F" w14:textId="77777777" w:rsidR="00463F1E" w:rsidRDefault="00463F1E" w:rsidP="00463F1E">
      <w:pPr>
        <w:pStyle w:val="ListParagraph"/>
        <w:numPr>
          <w:ilvl w:val="0"/>
          <w:numId w:val="27"/>
        </w:numPr>
        <w:spacing w:line="480" w:lineRule="auto"/>
      </w:pPr>
      <w:r>
        <w:t xml:space="preserve">Bookstaver PB, Felder TM, Qidley AM, Ragguci K, Nappi J, Draper HM. Pharmacy residents’ barriers to scholarly pursuits. </w:t>
      </w:r>
      <w:r w:rsidRPr="00F133C9">
        <w:rPr>
          <w:i/>
          <w:iCs/>
        </w:rPr>
        <w:t>Curr Pharm Teach Learn.</w:t>
      </w:r>
      <w:r>
        <w:t xml:space="preserve"> 2015;7(1):40-46. doi:10.1016/j.cptl.2015.09.003</w:t>
      </w:r>
    </w:p>
    <w:p w14:paraId="3B5A69A0" w14:textId="77777777" w:rsidR="00463F1E" w:rsidRDefault="00463F1E" w:rsidP="00463F1E">
      <w:pPr>
        <w:pStyle w:val="ListParagraph"/>
        <w:numPr>
          <w:ilvl w:val="0"/>
          <w:numId w:val="27"/>
        </w:numPr>
        <w:spacing w:line="480" w:lineRule="auto"/>
      </w:pPr>
      <w:r>
        <w:t xml:space="preserve">Swanson JM, Shafeeq H, Hammond DA, Li C, Devlin JW. Association between postgraduate year 2 residency program characteristics and primary project publication. </w:t>
      </w:r>
      <w:r w:rsidRPr="00F133C9">
        <w:rPr>
          <w:i/>
          <w:iCs/>
        </w:rPr>
        <w:t>Am J Health Syst Pharm.</w:t>
      </w:r>
      <w:r>
        <w:t xml:space="preserve"> 2018;75(6):384-391. doi:10.2146/ajhp160989</w:t>
      </w:r>
    </w:p>
    <w:p w14:paraId="1692F67F" w14:textId="77777777" w:rsidR="00463F1E" w:rsidRDefault="00463F1E" w:rsidP="00463F1E">
      <w:pPr>
        <w:pStyle w:val="ListParagraph"/>
        <w:numPr>
          <w:ilvl w:val="0"/>
          <w:numId w:val="27"/>
        </w:numPr>
        <w:spacing w:line="480" w:lineRule="auto"/>
      </w:pPr>
      <w:r>
        <w:t xml:space="preserve">Morbitzer KA, McLaughlin JE, Devanathan AS, et al. How-to guide for overcoming barriers of research and scholarship training in Pharm.D. and pharmacy residency programs. </w:t>
      </w:r>
      <w:r w:rsidRPr="00F133C9">
        <w:rPr>
          <w:i/>
          <w:iCs/>
        </w:rPr>
        <w:t>J Am Coll Clin Pharm.</w:t>
      </w:r>
      <w:r>
        <w:t xml:space="preserve"> 2021;4(6):743-753. doi:10.1002;jac5.1426</w:t>
      </w:r>
    </w:p>
    <w:p w14:paraId="1F0711AC" w14:textId="77777777" w:rsidR="00463F1E" w:rsidRDefault="00463F1E" w:rsidP="00463F1E">
      <w:pPr>
        <w:pStyle w:val="ListParagraph"/>
        <w:numPr>
          <w:ilvl w:val="0"/>
          <w:numId w:val="27"/>
        </w:numPr>
        <w:spacing w:line="480" w:lineRule="auto"/>
      </w:pPr>
      <w:r>
        <w:lastRenderedPageBreak/>
        <w:t xml:space="preserve">Weathers T, Ercek K, Unni EJ. PGY1 resident research projects: Publication rates, project completion policies, perceived values, and barriers. </w:t>
      </w:r>
      <w:r w:rsidRPr="00F133C9">
        <w:rPr>
          <w:i/>
          <w:iCs/>
        </w:rPr>
        <w:t>Curr Pharm Teach Learn.</w:t>
      </w:r>
      <w:r>
        <w:t xml:space="preserve"> 2019;11(6):547-556. doi:10.1016/j.cptl.2019.02.01</w:t>
      </w:r>
    </w:p>
    <w:p w14:paraId="6D3DBB6A" w14:textId="77777777" w:rsidR="00463F1E" w:rsidRDefault="00463F1E" w:rsidP="00463F1E">
      <w:pPr>
        <w:pStyle w:val="ListParagraph"/>
        <w:numPr>
          <w:ilvl w:val="0"/>
          <w:numId w:val="27"/>
        </w:numPr>
        <w:spacing w:line="480" w:lineRule="auto"/>
      </w:pPr>
      <w:r>
        <w:t xml:space="preserve">Murray MM, Kolanczyk DM, Phatak A, et al. Barriers to and factors influencing the pursuit of pharmacy student research. </w:t>
      </w:r>
      <w:r w:rsidRPr="00F133C9">
        <w:rPr>
          <w:i/>
          <w:iCs/>
        </w:rPr>
        <w:t>Curr Pharm Teach Learn.</w:t>
      </w:r>
      <w:r>
        <w:t xml:space="preserve"> 2020;12(11):1297-1303. doi:10.1016/j.cptl.2020.06.007</w:t>
      </w:r>
    </w:p>
    <w:p w14:paraId="744BB9BB" w14:textId="77777777" w:rsidR="00463F1E" w:rsidRDefault="00463F1E" w:rsidP="00463F1E">
      <w:pPr>
        <w:pStyle w:val="ListParagraph"/>
        <w:numPr>
          <w:ilvl w:val="0"/>
          <w:numId w:val="27"/>
        </w:numPr>
        <w:spacing w:line="480" w:lineRule="auto"/>
      </w:pPr>
      <w:r>
        <w:t xml:space="preserve">Nykamp D, Murphy JE, Marshall LL, Bell A. Pharmacy students' participation in a research experience culminating in journal publication. </w:t>
      </w:r>
      <w:r w:rsidRPr="00F133C9">
        <w:rPr>
          <w:i/>
          <w:iCs/>
        </w:rPr>
        <w:t>Am J Pharm Educ</w:t>
      </w:r>
      <w:r>
        <w:t>. 2010;74(3):47. doi:10.5688/aj740347</w:t>
      </w:r>
    </w:p>
    <w:p w14:paraId="18212E40" w14:textId="77777777" w:rsidR="00463F1E" w:rsidRDefault="00463F1E" w:rsidP="00463F1E">
      <w:pPr>
        <w:pStyle w:val="ListParagraph"/>
        <w:numPr>
          <w:ilvl w:val="0"/>
          <w:numId w:val="27"/>
        </w:numPr>
        <w:spacing w:line="480" w:lineRule="auto"/>
        <w:rPr>
          <w:rFonts w:eastAsia="Calibri" w:cstheme="minorHAnsi"/>
        </w:rPr>
      </w:pPr>
      <w:r w:rsidRPr="006D7ACF">
        <w:rPr>
          <w:rFonts w:eastAsia="Calibri" w:cstheme="minorHAnsi"/>
        </w:rPr>
        <w:t xml:space="preserve">Osborne KW, Woods KM, Maxwell WD, McGee K, Bookstaver PB. Outcomes of student-driven, faculty-mentored research and impact on postgraduate training and career selection. </w:t>
      </w:r>
      <w:r w:rsidRPr="006D7ACF">
        <w:rPr>
          <w:rFonts w:eastAsia="Calibri" w:cstheme="minorHAnsi"/>
          <w:i/>
          <w:iCs/>
        </w:rPr>
        <w:t>Am J Pharm Educ.</w:t>
      </w:r>
      <w:r w:rsidRPr="006D7ACF">
        <w:rPr>
          <w:rFonts w:eastAsia="Calibri" w:cstheme="minorHAnsi"/>
        </w:rPr>
        <w:t xml:space="preserve"> 2018;82(4):6246.</w:t>
      </w:r>
      <w:r>
        <w:rPr>
          <w:rFonts w:eastAsia="Calibri" w:cstheme="minorHAnsi"/>
        </w:rPr>
        <w:t xml:space="preserve"> </w:t>
      </w:r>
      <w:r w:rsidRPr="00D56C6B">
        <w:rPr>
          <w:rFonts w:eastAsia="Calibri" w:cstheme="minorHAnsi"/>
        </w:rPr>
        <w:t>doi:10.5688/ajpe6246</w:t>
      </w:r>
    </w:p>
    <w:p w14:paraId="4BF815B5" w14:textId="77777777" w:rsidR="00463F1E" w:rsidRPr="001553A4" w:rsidRDefault="00463F1E" w:rsidP="00463F1E">
      <w:pPr>
        <w:pStyle w:val="ListParagraph"/>
        <w:numPr>
          <w:ilvl w:val="0"/>
          <w:numId w:val="27"/>
        </w:numPr>
        <w:spacing w:line="480" w:lineRule="auto"/>
        <w:rPr>
          <w:rStyle w:val="eop"/>
          <w:rFonts w:eastAsia="Calibri" w:cstheme="minorHAnsi"/>
        </w:rPr>
      </w:pPr>
      <w:r>
        <w:rPr>
          <w:rStyle w:val="normaltextrun"/>
          <w:rFonts w:ascii="Calibri" w:hAnsi="Calibri" w:cs="Calibri"/>
          <w:color w:val="000000"/>
          <w:shd w:val="clear" w:color="auto" w:fill="FFFFFF"/>
        </w:rPr>
        <w:t>American Society of Health-System Pharmacists. Guidance document for required competency areas, goals, and objectives for postgraduate year one (PGY1) pharmacy residencies. https://www.ashp.org/-/media/assets/professional-development/residencies/docs/guidance-document-newly-approved-required-competency-areas-goals-objectives-2016. Accessed July 12, 2023.</w:t>
      </w:r>
      <w:r>
        <w:rPr>
          <w:rStyle w:val="eop"/>
          <w:rFonts w:ascii="Calibri" w:hAnsi="Calibri" w:cs="Calibri"/>
          <w:color w:val="000000"/>
          <w:shd w:val="clear" w:color="auto" w:fill="FFFFFF"/>
        </w:rPr>
        <w:t> </w:t>
      </w:r>
    </w:p>
    <w:p w14:paraId="07658D09" w14:textId="77777777" w:rsidR="00463F1E" w:rsidRDefault="00463F1E" w:rsidP="00463F1E">
      <w:pPr>
        <w:pStyle w:val="ListParagraph"/>
        <w:numPr>
          <w:ilvl w:val="0"/>
          <w:numId w:val="27"/>
        </w:numPr>
        <w:spacing w:line="480" w:lineRule="auto"/>
        <w:rPr>
          <w:rFonts w:eastAsia="Calibri" w:cstheme="minorHAnsi"/>
        </w:rPr>
      </w:pPr>
      <w:r w:rsidRPr="000811CD">
        <w:rPr>
          <w:rFonts w:eastAsia="Calibri" w:cstheme="minorHAnsi"/>
        </w:rPr>
        <w:t xml:space="preserve">Stranges </w:t>
      </w:r>
      <w:r>
        <w:rPr>
          <w:rFonts w:eastAsia="Calibri" w:cstheme="minorHAnsi"/>
        </w:rPr>
        <w:t xml:space="preserve">PM, Vuori SM, Bergfeld F, </w:t>
      </w:r>
      <w:r w:rsidRPr="000811CD">
        <w:rPr>
          <w:rFonts w:eastAsia="Calibri" w:cstheme="minorHAnsi"/>
        </w:rPr>
        <w:t xml:space="preserve">et al. </w:t>
      </w:r>
      <w:r w:rsidRPr="001553A4">
        <w:rPr>
          <w:rFonts w:eastAsia="Calibri" w:cstheme="minorHAnsi"/>
        </w:rPr>
        <w:t>Pharmacy resident publication success: Factors of success based on abstracts from a regional meeting</w:t>
      </w:r>
      <w:r>
        <w:rPr>
          <w:rFonts w:eastAsia="Calibri" w:cstheme="minorHAnsi"/>
        </w:rPr>
        <w:t xml:space="preserve">. </w:t>
      </w:r>
      <w:r w:rsidRPr="001553A4">
        <w:rPr>
          <w:rFonts w:eastAsia="Calibri" w:cstheme="minorHAnsi"/>
          <w:i/>
          <w:iCs/>
        </w:rPr>
        <w:t>Curr Pharm Teach Learn</w:t>
      </w:r>
      <w:r w:rsidRPr="000811CD">
        <w:rPr>
          <w:rFonts w:eastAsia="Calibri" w:cstheme="minorHAnsi"/>
        </w:rPr>
        <w:t>. 2015; 7(6):780</w:t>
      </w:r>
      <w:r>
        <w:rPr>
          <w:rFonts w:eastAsia="Calibri" w:cstheme="minorHAnsi"/>
        </w:rPr>
        <w:t>-</w:t>
      </w:r>
      <w:r w:rsidRPr="000811CD">
        <w:rPr>
          <w:rFonts w:eastAsia="Calibri" w:cstheme="minorHAnsi"/>
        </w:rPr>
        <w:t>786.</w:t>
      </w:r>
      <w:r>
        <w:rPr>
          <w:rFonts w:eastAsia="Calibri" w:cstheme="minorHAnsi"/>
        </w:rPr>
        <w:t xml:space="preserve"> </w:t>
      </w:r>
      <w:r w:rsidRPr="001553A4">
        <w:rPr>
          <w:rFonts w:eastAsia="Calibri" w:cstheme="minorHAnsi"/>
        </w:rPr>
        <w:t>doi: 10.1016/j.cptl.2015.08.017</w:t>
      </w:r>
      <w:r>
        <w:rPr>
          <w:rFonts w:eastAsia="Calibri" w:cstheme="minorHAnsi"/>
        </w:rPr>
        <w:t>.</w:t>
      </w:r>
    </w:p>
    <w:p w14:paraId="5DE0424C" w14:textId="77777777" w:rsidR="00463F1E" w:rsidRPr="00B9219E" w:rsidRDefault="00463F1E" w:rsidP="00463F1E">
      <w:pPr>
        <w:pStyle w:val="ListParagraph"/>
        <w:numPr>
          <w:ilvl w:val="0"/>
          <w:numId w:val="27"/>
        </w:numPr>
        <w:spacing w:line="480" w:lineRule="auto"/>
        <w:rPr>
          <w:rFonts w:eastAsia="Calibri" w:cstheme="minorHAnsi"/>
        </w:rPr>
      </w:pPr>
      <w:r w:rsidRPr="00B9219E">
        <w:rPr>
          <w:rFonts w:eastAsia="Calibri" w:cstheme="minorHAnsi"/>
        </w:rPr>
        <w:t xml:space="preserve">Olson KL, Holmes M, Dang C, Patel RJ, Witt DM. Publication rates of abstracts presented by pharmacy residents at the Western States Conference. </w:t>
      </w:r>
      <w:r w:rsidRPr="00B9219E">
        <w:rPr>
          <w:rFonts w:eastAsia="Calibri" w:cstheme="minorHAnsi"/>
          <w:i/>
          <w:iCs/>
        </w:rPr>
        <w:t>Am J Health Syst Pharm</w:t>
      </w:r>
      <w:r w:rsidRPr="00B9219E">
        <w:rPr>
          <w:rFonts w:eastAsia="Calibri" w:cstheme="minorHAnsi"/>
        </w:rPr>
        <w:t xml:space="preserve">. 2012;69(1):59–62. </w:t>
      </w:r>
      <w:r>
        <w:rPr>
          <w:rFonts w:eastAsia="Calibri" w:cstheme="minorHAnsi"/>
        </w:rPr>
        <w:t>doi</w:t>
      </w:r>
      <w:r w:rsidRPr="00B9219E">
        <w:rPr>
          <w:rFonts w:eastAsia="Calibri" w:cstheme="minorHAnsi"/>
        </w:rPr>
        <w:t>: 10.2146/ajhp110423</w:t>
      </w:r>
    </w:p>
    <w:p w14:paraId="7F5C4801" w14:textId="77777777" w:rsidR="00463F1E" w:rsidRDefault="00463F1E" w:rsidP="00463F1E">
      <w:pPr>
        <w:pStyle w:val="ListParagraph"/>
        <w:numPr>
          <w:ilvl w:val="0"/>
          <w:numId w:val="27"/>
        </w:numPr>
        <w:spacing w:line="480" w:lineRule="auto"/>
        <w:rPr>
          <w:rFonts w:eastAsia="Calibri" w:cstheme="minorHAnsi"/>
        </w:rPr>
      </w:pPr>
      <w:r w:rsidRPr="00B9219E">
        <w:rPr>
          <w:rFonts w:eastAsia="Calibri" w:cstheme="minorHAnsi"/>
        </w:rPr>
        <w:lastRenderedPageBreak/>
        <w:t xml:space="preserve">McKelvey RP, Hatton RC, Kimberlin CA. Pharmacy resident project publication rates and study designs from 1981, 1991, and 2001. </w:t>
      </w:r>
      <w:r w:rsidRPr="00B9219E">
        <w:rPr>
          <w:rFonts w:eastAsia="Calibri" w:cstheme="minorHAnsi"/>
          <w:i/>
          <w:iCs/>
        </w:rPr>
        <w:t>Am J Health Syst Pharm</w:t>
      </w:r>
      <w:r w:rsidRPr="00B9219E">
        <w:rPr>
          <w:rFonts w:eastAsia="Calibri" w:cstheme="minorHAnsi"/>
        </w:rPr>
        <w:t>. 2010;67(10):830–836.</w:t>
      </w:r>
      <w:r>
        <w:rPr>
          <w:rFonts w:eastAsia="Calibri" w:cstheme="minorHAnsi"/>
        </w:rPr>
        <w:t xml:space="preserve"> </w:t>
      </w:r>
      <w:r w:rsidRPr="00B9219E">
        <w:rPr>
          <w:rFonts w:eastAsia="Calibri" w:cstheme="minorHAnsi"/>
        </w:rPr>
        <w:t>doi: 10.2146/ajhp090090.</w:t>
      </w:r>
    </w:p>
    <w:p w14:paraId="12434BDF" w14:textId="77777777" w:rsidR="00463F1E" w:rsidRPr="00C4263E" w:rsidRDefault="00463F1E" w:rsidP="00463F1E">
      <w:pPr>
        <w:pStyle w:val="ListParagraph"/>
        <w:numPr>
          <w:ilvl w:val="0"/>
          <w:numId w:val="27"/>
        </w:numPr>
        <w:spacing w:line="480" w:lineRule="auto"/>
        <w:rPr>
          <w:rFonts w:eastAsia="Calibri" w:cstheme="minorHAnsi"/>
        </w:rPr>
      </w:pPr>
      <w:r w:rsidRPr="000811CD">
        <w:rPr>
          <w:rFonts w:eastAsia="Calibri" w:cstheme="minorHAnsi"/>
        </w:rPr>
        <w:t xml:space="preserve">Shafeeq H, </w:t>
      </w:r>
      <w:r>
        <w:rPr>
          <w:rFonts w:eastAsia="Calibri" w:cstheme="minorHAnsi"/>
        </w:rPr>
        <w:t>Hammond DA, Swanson JM, Li C, Devlin JW</w:t>
      </w:r>
      <w:r w:rsidRPr="000811CD">
        <w:rPr>
          <w:rFonts w:eastAsia="Calibri" w:cstheme="minorHAnsi"/>
        </w:rPr>
        <w:t>.</w:t>
      </w:r>
      <w:r>
        <w:rPr>
          <w:rFonts w:eastAsia="Calibri" w:cstheme="minorHAnsi"/>
        </w:rPr>
        <w:t xml:space="preserve"> Critical care PGY-2 graduate perceptions and practices regarding residency project publication. </w:t>
      </w:r>
      <w:r w:rsidRPr="000811CD">
        <w:rPr>
          <w:rFonts w:eastAsia="Calibri" w:cstheme="minorHAnsi"/>
        </w:rPr>
        <w:t>A</w:t>
      </w:r>
      <w:r>
        <w:rPr>
          <w:rFonts w:eastAsia="Calibri" w:cstheme="minorHAnsi"/>
        </w:rPr>
        <w:t xml:space="preserve">m </w:t>
      </w:r>
      <w:r w:rsidRPr="000811CD">
        <w:rPr>
          <w:rFonts w:eastAsia="Calibri" w:cstheme="minorHAnsi"/>
        </w:rPr>
        <w:t>J</w:t>
      </w:r>
      <w:r>
        <w:rPr>
          <w:rFonts w:eastAsia="Calibri" w:cstheme="minorHAnsi"/>
        </w:rPr>
        <w:t xml:space="preserve"> </w:t>
      </w:r>
      <w:r w:rsidRPr="000811CD">
        <w:rPr>
          <w:rFonts w:eastAsia="Calibri" w:cstheme="minorHAnsi"/>
        </w:rPr>
        <w:t>P</w:t>
      </w:r>
      <w:r>
        <w:rPr>
          <w:rFonts w:eastAsia="Calibri" w:cstheme="minorHAnsi"/>
        </w:rPr>
        <w:t xml:space="preserve">harm </w:t>
      </w:r>
      <w:r w:rsidRPr="000811CD">
        <w:rPr>
          <w:rFonts w:eastAsia="Calibri" w:cstheme="minorHAnsi"/>
        </w:rPr>
        <w:t>E</w:t>
      </w:r>
      <w:r>
        <w:rPr>
          <w:rFonts w:eastAsia="Calibri" w:cstheme="minorHAnsi"/>
        </w:rPr>
        <w:t>duc.</w:t>
      </w:r>
      <w:r w:rsidRPr="000811CD">
        <w:rPr>
          <w:rFonts w:eastAsia="Calibri" w:cstheme="minorHAnsi"/>
        </w:rPr>
        <w:t xml:space="preserve"> 2019; 83(2):6515</w:t>
      </w:r>
      <w:r>
        <w:rPr>
          <w:rFonts w:eastAsia="Calibri" w:cstheme="minorHAnsi"/>
        </w:rPr>
        <w:t xml:space="preserve">. oi: </w:t>
      </w:r>
      <w:r w:rsidRPr="00C76581">
        <w:rPr>
          <w:rFonts w:eastAsia="Calibri" w:cstheme="minorHAnsi"/>
        </w:rPr>
        <w:t>10.5688/ajpe6515</w:t>
      </w:r>
      <w:r>
        <w:rPr>
          <w:rFonts w:eastAsia="Calibri" w:cstheme="minorHAnsi"/>
        </w:rPr>
        <w:t>.</w:t>
      </w:r>
    </w:p>
    <w:p w14:paraId="3AC26714" w14:textId="77777777" w:rsidR="00463F1E" w:rsidRDefault="00463F1E" w:rsidP="00463F1E">
      <w:pPr>
        <w:pStyle w:val="ListParagraph"/>
        <w:numPr>
          <w:ilvl w:val="0"/>
          <w:numId w:val="27"/>
        </w:numPr>
        <w:spacing w:line="480" w:lineRule="auto"/>
      </w:pPr>
      <w:r>
        <w:t xml:space="preserve">Medina MS, Plaza CM, Stowe CD, et al. Center for the advancement of pharmacy education (CAPE) educational outcomes 2013. </w:t>
      </w:r>
      <w:r w:rsidRPr="00F133C9">
        <w:rPr>
          <w:i/>
          <w:iCs/>
        </w:rPr>
        <w:t>Am J Pharm Educ.</w:t>
      </w:r>
      <w:r>
        <w:t xml:space="preserve"> 2013;77(8):162. doi:10.5688/ajpe778162.</w:t>
      </w:r>
    </w:p>
    <w:p w14:paraId="4EF94587" w14:textId="77777777" w:rsidR="00463F1E" w:rsidRPr="00F133C9" w:rsidRDefault="00463F1E" w:rsidP="00463F1E">
      <w:pPr>
        <w:pStyle w:val="ListParagraph"/>
        <w:numPr>
          <w:ilvl w:val="0"/>
          <w:numId w:val="27"/>
        </w:numPr>
        <w:spacing w:line="480" w:lineRule="auto"/>
      </w:pPr>
      <w:r w:rsidRPr="00F133C9">
        <w:t>AACP Academic Affairs Standing Committee. AACP Curriculum Outcomes and Entrustable Professional Activities 2022. https://www.aacp.org/sites/default/files/2022-11/coepa-document-final.pdf. Accessed July 12, 2023.</w:t>
      </w:r>
    </w:p>
    <w:p w14:paraId="4BED2F06" w14:textId="77777777" w:rsidR="00463F1E" w:rsidRDefault="00463F1E" w:rsidP="00463F1E">
      <w:pPr>
        <w:pStyle w:val="ListParagraph"/>
        <w:numPr>
          <w:ilvl w:val="0"/>
          <w:numId w:val="27"/>
        </w:numPr>
        <w:spacing w:line="480" w:lineRule="auto"/>
      </w:pPr>
      <w:r>
        <w:t xml:space="preserve">Jang C, Wellins C, Mihm AE, Nisly SA. Pharmacy students’ professional skill development through a scaffolded internship. </w:t>
      </w:r>
      <w:r w:rsidRPr="00F133C9">
        <w:rPr>
          <w:i/>
          <w:iCs/>
        </w:rPr>
        <w:t>Innov Pharm.</w:t>
      </w:r>
      <w:r>
        <w:t xml:space="preserve"> 2022;13(2):10. doi:10.24926/iip.v13i2.4296</w:t>
      </w:r>
    </w:p>
    <w:p w14:paraId="6531D0FE" w14:textId="77777777" w:rsidR="00463F1E" w:rsidRDefault="00463F1E" w:rsidP="00463F1E">
      <w:pPr>
        <w:pStyle w:val="ListParagraph"/>
        <w:numPr>
          <w:ilvl w:val="0"/>
          <w:numId w:val="27"/>
        </w:numPr>
        <w:spacing w:line="480" w:lineRule="auto"/>
      </w:pPr>
      <w:r>
        <w:t xml:space="preserve">Slazak EM, Prescott GM, Doloresco F, Woodruff AE, Prescott WA. Assessment of a scholars program designed to enhance pharmacy students' competitiveness for postgraduate residency training. </w:t>
      </w:r>
      <w:r w:rsidRPr="00F133C9">
        <w:rPr>
          <w:i/>
          <w:iCs/>
        </w:rPr>
        <w:t>Am J Pharm Educ.</w:t>
      </w:r>
      <w:r>
        <w:t>2020;84(7):7728. doi:10.5688/ajpe7728.</w:t>
      </w:r>
    </w:p>
    <w:p w14:paraId="432B9BFB" w14:textId="77777777" w:rsidR="00463F1E" w:rsidRPr="00C4263E" w:rsidRDefault="00463F1E" w:rsidP="00463F1E">
      <w:pPr>
        <w:pStyle w:val="ListParagraph"/>
        <w:numPr>
          <w:ilvl w:val="0"/>
          <w:numId w:val="27"/>
        </w:numPr>
        <w:spacing w:line="480" w:lineRule="auto"/>
        <w:rPr>
          <w:rFonts w:eastAsia="Calibri"/>
        </w:rPr>
      </w:pPr>
      <w:r w:rsidRPr="7BBD1B22">
        <w:rPr>
          <w:rFonts w:eastAsia="Calibri"/>
        </w:rPr>
        <w:t xml:space="preserve">Darko W, Seabury RW, Miller CD, et al. Implementation of a formal pharmacy residency research certificate program. </w:t>
      </w:r>
      <w:r w:rsidRPr="00F133C9">
        <w:rPr>
          <w:rFonts w:eastAsia="Calibri"/>
          <w:i/>
          <w:iCs/>
        </w:rPr>
        <w:t>Am J Health Syst Pharm.</w:t>
      </w:r>
      <w:r w:rsidRPr="7BBD1B22">
        <w:rPr>
          <w:rFonts w:eastAsia="Calibri"/>
        </w:rPr>
        <w:t xml:space="preserve"> 2021;78(5):436-446. doi:10.1093/ajhp/zxaa424</w:t>
      </w:r>
    </w:p>
    <w:p w14:paraId="7B0BC1C0" w14:textId="77777777" w:rsidR="00463F1E" w:rsidRDefault="00463F1E" w:rsidP="00463F1E">
      <w:pPr>
        <w:pStyle w:val="ListParagraph"/>
        <w:numPr>
          <w:ilvl w:val="0"/>
          <w:numId w:val="27"/>
        </w:numPr>
        <w:spacing w:line="480" w:lineRule="auto"/>
      </w:pPr>
      <w:r>
        <w:t xml:space="preserve">Weeda ER, Weant. Development of a pharmacy residency research certificate program. </w:t>
      </w:r>
      <w:r w:rsidRPr="00F133C9">
        <w:rPr>
          <w:i/>
          <w:iCs/>
        </w:rPr>
        <w:t>Hosp Pharm</w:t>
      </w:r>
      <w:r>
        <w:t>. 2021;56(2):72–76. doi:10.1177/0018578719867651</w:t>
      </w:r>
    </w:p>
    <w:p w14:paraId="0D14CD3A" w14:textId="77777777" w:rsidR="00463F1E" w:rsidRDefault="00463F1E" w:rsidP="00463F1E">
      <w:pPr>
        <w:pStyle w:val="ListParagraph"/>
        <w:numPr>
          <w:ilvl w:val="0"/>
          <w:numId w:val="27"/>
        </w:numPr>
        <w:spacing w:line="480" w:lineRule="auto"/>
      </w:pPr>
      <w:r>
        <w:t xml:space="preserve">Billups SJ, Olson KL, Saseen JJ, et al. Evaluation of the effect of a structured program to guide residents’ experience in research (ASPIRE) on pharmacy residents’ knowledge, confidence, and attitude toward research. </w:t>
      </w:r>
      <w:r w:rsidRPr="7BBD1B22">
        <w:rPr>
          <w:i/>
          <w:iCs/>
        </w:rPr>
        <w:t>Pharmacother</w:t>
      </w:r>
      <w:r w:rsidRPr="00F133C9">
        <w:rPr>
          <w:i/>
          <w:iCs/>
        </w:rPr>
        <w:t>.</w:t>
      </w:r>
      <w:r>
        <w:t xml:space="preserve"> 2016;36:631–637. doi:10.1002/phar.1765.</w:t>
      </w:r>
    </w:p>
    <w:p w14:paraId="7211E1E4" w14:textId="77777777" w:rsidR="00463F1E" w:rsidRDefault="00463F1E" w:rsidP="00463F1E">
      <w:pPr>
        <w:pStyle w:val="ListParagraph"/>
        <w:numPr>
          <w:ilvl w:val="0"/>
          <w:numId w:val="27"/>
        </w:numPr>
        <w:spacing w:line="480" w:lineRule="auto"/>
      </w:pPr>
      <w:r>
        <w:lastRenderedPageBreak/>
        <w:t xml:space="preserve">Bennett KK, Fox AN, Miller JL, Neely S, Dennis VC, Johnson PN. Publication rates of pharmacy residents involved in a team-based research program. </w:t>
      </w:r>
      <w:r w:rsidRPr="00F133C9">
        <w:rPr>
          <w:i/>
          <w:iCs/>
        </w:rPr>
        <w:t>Am J Health Syst Pharm.</w:t>
      </w:r>
      <w:r>
        <w:t xml:space="preserve"> 2022;79(23):2141-2149. doi:10.1093/ajhp/zxac233.</w:t>
      </w:r>
    </w:p>
    <w:p w14:paraId="3313CE08" w14:textId="77777777" w:rsidR="00463F1E" w:rsidRDefault="00463F1E" w:rsidP="00463F1E">
      <w:pPr>
        <w:pStyle w:val="ListParagraph"/>
        <w:numPr>
          <w:ilvl w:val="0"/>
          <w:numId w:val="27"/>
        </w:numPr>
        <w:spacing w:line="480" w:lineRule="auto"/>
      </w:pPr>
      <w:r>
        <w:t xml:space="preserve">Prescott WA. Facilitating advancement of clinical-track pharmacy faculty members. </w:t>
      </w:r>
      <w:r w:rsidRPr="00F133C9">
        <w:rPr>
          <w:i/>
          <w:iCs/>
        </w:rPr>
        <w:t>Am J Pharm Educ.</w:t>
      </w:r>
      <w:r>
        <w:t xml:space="preserve"> 2020 May; 84(5):7910. doi:10.5688/ajpe7910.</w:t>
      </w:r>
    </w:p>
    <w:p w14:paraId="19D3D975" w14:textId="77777777" w:rsidR="00463F1E" w:rsidRDefault="00463F1E" w:rsidP="00463F1E">
      <w:pPr>
        <w:pStyle w:val="ListParagraph"/>
        <w:numPr>
          <w:ilvl w:val="0"/>
          <w:numId w:val="27"/>
        </w:numPr>
        <w:spacing w:line="480" w:lineRule="auto"/>
      </w:pPr>
      <w:r>
        <w:t xml:space="preserve">Sambunjak D, Straus SE, Marusic A. Mentoring in academic medicine: a systematic review. </w:t>
      </w:r>
      <w:r w:rsidRPr="00F133C9">
        <w:rPr>
          <w:i/>
          <w:iCs/>
        </w:rPr>
        <w:t>JAMA</w:t>
      </w:r>
      <w:r>
        <w:t>;2006;296(6):1103-1115. doi:10.1001/jama.296.9.1103.</w:t>
      </w:r>
    </w:p>
    <w:p w14:paraId="6F4A1B18" w14:textId="77777777" w:rsidR="00463F1E" w:rsidRDefault="00463F1E" w:rsidP="00463F1E">
      <w:pPr>
        <w:pStyle w:val="ListParagraph"/>
        <w:numPr>
          <w:ilvl w:val="0"/>
          <w:numId w:val="27"/>
        </w:numPr>
        <w:spacing w:line="480" w:lineRule="auto"/>
      </w:pPr>
      <w:r>
        <w:t xml:space="preserve">Lee BJ, Rhodes NJ, Scheetz MH, McLaughlin MM. Engaging pharmacy students in research through near-peer training. </w:t>
      </w:r>
      <w:r w:rsidRPr="00F133C9">
        <w:rPr>
          <w:i/>
          <w:iCs/>
        </w:rPr>
        <w:t>Am J Pharm Educ.</w:t>
      </w:r>
      <w:r>
        <w:t xml:space="preserve"> 2017;81(9):6340. doi:10.5688/ajpe6340.</w:t>
      </w:r>
    </w:p>
    <w:p w14:paraId="08FE4D66" w14:textId="77777777" w:rsidR="00463F1E" w:rsidRDefault="00463F1E" w:rsidP="00463F1E">
      <w:pPr>
        <w:pStyle w:val="ListParagraph"/>
        <w:numPr>
          <w:ilvl w:val="0"/>
          <w:numId w:val="27"/>
        </w:numPr>
        <w:spacing w:line="480" w:lineRule="auto"/>
      </w:pPr>
      <w:r>
        <w:t xml:space="preserve">Yue JJ, Chen G. Competence of pharmacy mentors: a survey of the perceptions of pharmacy postgraduates and their mentors. </w:t>
      </w:r>
      <w:r w:rsidRPr="00F133C9">
        <w:rPr>
          <w:i/>
          <w:iCs/>
        </w:rPr>
        <w:t>BMC Med Educ</w:t>
      </w:r>
      <w:r>
        <w:t>. 2020;20(1):265. doi:10.1186/s12909-020-02188-0.</w:t>
      </w:r>
    </w:p>
    <w:p w14:paraId="1EEC0844" w14:textId="77777777" w:rsidR="00463F1E" w:rsidRDefault="00463F1E" w:rsidP="00463F1E">
      <w:pPr>
        <w:pStyle w:val="ListParagraph"/>
        <w:numPr>
          <w:ilvl w:val="0"/>
          <w:numId w:val="27"/>
        </w:numPr>
        <w:spacing w:line="480" w:lineRule="auto"/>
      </w:pPr>
      <w:r>
        <w:t xml:space="preserve">Smith SE, Slaughter AA, Butler SA, Buckley MS, MacLaren R, Newsome AS. Examination of critical care pharmacist work activities and burnout. </w:t>
      </w:r>
      <w:r w:rsidRPr="00F133C9">
        <w:rPr>
          <w:i/>
          <w:iCs/>
        </w:rPr>
        <w:t>J Am Coll Clin Pharm.</w:t>
      </w:r>
      <w:r>
        <w:t xml:space="preserve"> 2021;4:554-569. doi:10.1002/jac5.1408554</w:t>
      </w:r>
    </w:p>
    <w:p w14:paraId="6005D3BF" w14:textId="77777777" w:rsidR="00463F1E" w:rsidRDefault="00463F1E" w:rsidP="00463F1E">
      <w:pPr>
        <w:pStyle w:val="ListParagraph"/>
        <w:numPr>
          <w:ilvl w:val="0"/>
          <w:numId w:val="27"/>
        </w:numPr>
        <w:spacing w:line="480" w:lineRule="auto"/>
      </w:pPr>
      <w:r>
        <w:t xml:space="preserve">El-Ibiary SY, Yam L, Lee KC. </w:t>
      </w:r>
      <w:r w:rsidRPr="00D74967">
        <w:t>Assessment of burnout and associated risk factors among pharmacy practice faculty in the United States</w:t>
      </w:r>
      <w:r>
        <w:t xml:space="preserve">. Am J Pharm Educ. 2017;81(4):75. </w:t>
      </w:r>
      <w:r w:rsidRPr="00D74967">
        <w:t>doi:10.5688/ajpe81475.</w:t>
      </w:r>
    </w:p>
    <w:p w14:paraId="5A992552" w14:textId="77777777" w:rsidR="00463F1E" w:rsidRDefault="00463F1E" w:rsidP="00463F1E">
      <w:pPr>
        <w:pStyle w:val="ListParagraph"/>
        <w:numPr>
          <w:ilvl w:val="0"/>
          <w:numId w:val="27"/>
        </w:numPr>
        <w:spacing w:line="480" w:lineRule="auto"/>
      </w:pPr>
      <w:r w:rsidRPr="00207259">
        <w:t xml:space="preserve">National Academies of Sciences, Engineering, and Medicine. 2019. Taking Action Against Clinician Burnout: A Systems Approach to Professional Well-Being. Washington, DC: The National Academies Press. </w:t>
      </w:r>
      <w:hyperlink r:id="rId8" w:history="1">
        <w:r w:rsidRPr="00F86834">
          <w:rPr>
            <w:rStyle w:val="Hyperlink"/>
          </w:rPr>
          <w:t>https://doi.org/10.17226/25521</w:t>
        </w:r>
      </w:hyperlink>
      <w:r w:rsidRPr="00207259">
        <w:t>.</w:t>
      </w:r>
    </w:p>
    <w:p w14:paraId="403999F3" w14:textId="77777777" w:rsidR="00463F1E" w:rsidRDefault="00463F1E" w:rsidP="00463F1E">
      <w:pPr>
        <w:pStyle w:val="ListParagraph"/>
        <w:numPr>
          <w:ilvl w:val="0"/>
          <w:numId w:val="27"/>
        </w:numPr>
        <w:spacing w:line="480" w:lineRule="auto"/>
      </w:pPr>
      <w:r>
        <w:t xml:space="preserve">Brown JN, Gordon SE, Tillman F, Jacob S, Britnell SR. Assessing the economic value of pharmacy resident participation in an investigational drug service. </w:t>
      </w:r>
      <w:r w:rsidRPr="00934D78">
        <w:rPr>
          <w:i/>
          <w:iCs/>
        </w:rPr>
        <w:t>J Pharm Pract</w:t>
      </w:r>
      <w:r>
        <w:t>. 2021;34(1):23-27. doi:10.1177/0897190019850938</w:t>
      </w:r>
    </w:p>
    <w:p w14:paraId="7CD3CCF9" w14:textId="77777777" w:rsidR="00463F1E" w:rsidRDefault="00463F1E" w:rsidP="00463F1E">
      <w:pPr>
        <w:pStyle w:val="ListParagraph"/>
        <w:numPr>
          <w:ilvl w:val="0"/>
          <w:numId w:val="27"/>
        </w:numPr>
        <w:spacing w:line="480" w:lineRule="auto"/>
      </w:pPr>
      <w:r>
        <w:lastRenderedPageBreak/>
        <w:t>Swan JT, Giouroukakis M, Shank BR, Crona DJ, Berger K, Wombwell E. The Value of Pharmacy Residency Training for Health Systems: An Annotated Bibliography. J Pharm Pract. 2014;27(4):399-411. doi:10.1177/0897190013515707</w:t>
      </w:r>
    </w:p>
    <w:p w14:paraId="646B7A85" w14:textId="77777777" w:rsidR="00463F1E" w:rsidRDefault="00463F1E" w:rsidP="00463F1E">
      <w:pPr>
        <w:pStyle w:val="ListParagraph"/>
        <w:numPr>
          <w:ilvl w:val="0"/>
          <w:numId w:val="27"/>
        </w:numPr>
        <w:spacing w:line="480" w:lineRule="auto"/>
      </w:pPr>
      <w:r w:rsidRPr="0061184C">
        <w:t xml:space="preserve">Draeger J. Why bother with the scholarship of teaching and learning? </w:t>
      </w:r>
      <w:r w:rsidRPr="00F133C9">
        <w:rPr>
          <w:i/>
          <w:iCs/>
        </w:rPr>
        <w:t>InSight: A Journal of Scholarly Teaching</w:t>
      </w:r>
      <w:r w:rsidRPr="0061184C">
        <w:t>. 2013;8:12-19</w:t>
      </w:r>
      <w:r>
        <w:t>.</w:t>
      </w:r>
    </w:p>
    <w:p w14:paraId="0A482925" w14:textId="77777777" w:rsidR="00463F1E" w:rsidRDefault="00463F1E" w:rsidP="00463F1E">
      <w:pPr>
        <w:pStyle w:val="ListParagraph"/>
        <w:numPr>
          <w:ilvl w:val="0"/>
          <w:numId w:val="27"/>
        </w:numPr>
        <w:spacing w:line="480" w:lineRule="auto"/>
      </w:pPr>
      <w:r>
        <w:t xml:space="preserve">Brandl K, Adler D, Kelly C, Taylor P, Best BM. Effect of a dedicated pharmacy student summer research program on publication rate. </w:t>
      </w:r>
      <w:r w:rsidRPr="00F133C9">
        <w:rPr>
          <w:i/>
          <w:iCs/>
        </w:rPr>
        <w:t>Am J Pharm Educ.</w:t>
      </w:r>
      <w:r>
        <w:t xml:space="preserve"> 2017;81(3):48.doi:10.5688/ajpe81348</w:t>
      </w:r>
    </w:p>
    <w:p w14:paraId="0D5F2857" w14:textId="77777777" w:rsidR="00463F1E" w:rsidRDefault="00463F1E" w:rsidP="00463F1E">
      <w:pPr>
        <w:pStyle w:val="ListParagraph"/>
        <w:numPr>
          <w:ilvl w:val="0"/>
          <w:numId w:val="27"/>
        </w:numPr>
        <w:spacing w:line="480" w:lineRule="auto"/>
      </w:pPr>
      <w:r>
        <w:t xml:space="preserve">Kim J, McPherson SK, Koval P, Tran M, Feinman H. Evaluation of a fourth-year student pharmacist research process at a community teaching health system. </w:t>
      </w:r>
      <w:r w:rsidRPr="00F133C9">
        <w:rPr>
          <w:i/>
          <w:iCs/>
        </w:rPr>
        <w:t xml:space="preserve">Am J Pharm Educ. </w:t>
      </w:r>
      <w:r>
        <w:t>2022;86(2):8440. doi:10.5688/ajpe8440</w:t>
      </w:r>
    </w:p>
    <w:p w14:paraId="169B586A" w14:textId="77777777" w:rsidR="00463F1E" w:rsidRDefault="00463F1E" w:rsidP="00463F1E">
      <w:pPr>
        <w:pStyle w:val="ListParagraph"/>
        <w:numPr>
          <w:ilvl w:val="0"/>
          <w:numId w:val="27"/>
        </w:numPr>
        <w:spacing w:line="480" w:lineRule="auto"/>
      </w:pPr>
      <w:r>
        <w:t xml:space="preserve">Pinelli NR, Eckel SF, Vu MB, Weinberger M, Roth MT. The layered learning practice model: lessons learned from implementation. </w:t>
      </w:r>
      <w:r w:rsidRPr="00F133C9">
        <w:rPr>
          <w:i/>
          <w:iCs/>
        </w:rPr>
        <w:t>Am J Health Syst Pharm.</w:t>
      </w:r>
      <w:r>
        <w:t xml:space="preserve"> 2016;73(24):2077-2082. doi:10.2146/ajhp160163.</w:t>
      </w:r>
    </w:p>
    <w:p w14:paraId="609BA6EF" w14:textId="77777777" w:rsidR="00463F1E" w:rsidRDefault="00463F1E" w:rsidP="00463F1E">
      <w:pPr>
        <w:pStyle w:val="ListParagraph"/>
        <w:numPr>
          <w:ilvl w:val="0"/>
          <w:numId w:val="27"/>
        </w:numPr>
        <w:spacing w:line="480" w:lineRule="auto"/>
      </w:pPr>
      <w:r>
        <w:t xml:space="preserve">Morbitzer KA, Rao KV, Rhoney DH, et al. Implementation of the flipped residency research model to enhance residency research training. </w:t>
      </w:r>
      <w:r w:rsidRPr="00F133C9">
        <w:rPr>
          <w:i/>
          <w:iCs/>
        </w:rPr>
        <w:t>Am J Health Syst Pharm.</w:t>
      </w:r>
      <w:r>
        <w:t xml:space="preserve"> 2019;76(9):608-612. doi:10.1093/ajhp/zxz064</w:t>
      </w:r>
    </w:p>
    <w:p w14:paraId="4E600327" w14:textId="77777777" w:rsidR="00463F1E" w:rsidRDefault="00463F1E" w:rsidP="00463F1E">
      <w:pPr>
        <w:pStyle w:val="ListParagraph"/>
        <w:numPr>
          <w:ilvl w:val="0"/>
          <w:numId w:val="27"/>
        </w:numPr>
        <w:spacing w:line="480" w:lineRule="auto"/>
      </w:pPr>
      <w:r>
        <w:t xml:space="preserve">Glover ML, Armayor GM. An assessment of college of pharmacy promotion committees and criteria for promotion for pharmacy practice faculty. </w:t>
      </w:r>
      <w:r w:rsidRPr="00F133C9">
        <w:rPr>
          <w:i/>
          <w:iCs/>
        </w:rPr>
        <w:t>Pharmacy Education</w:t>
      </w:r>
      <w:r>
        <w:t>. 2006;6(4):275-280. doi:10.1080/15602210600911973</w:t>
      </w:r>
    </w:p>
    <w:p w14:paraId="5465D153" w14:textId="77777777" w:rsidR="00463F1E" w:rsidRDefault="00463F1E" w:rsidP="00463F1E">
      <w:pPr>
        <w:pStyle w:val="ListParagraph"/>
        <w:numPr>
          <w:ilvl w:val="0"/>
          <w:numId w:val="27"/>
        </w:numPr>
        <w:spacing w:line="480" w:lineRule="auto"/>
      </w:pPr>
      <w:r w:rsidRPr="00B9691A">
        <w:t xml:space="preserve">Bard, Google AI. "Potential benefits of incorporating pharmacy learners into research and quality improvement projects." Bard, Google AI, </w:t>
      </w:r>
      <w:r>
        <w:t>May 18, 2023</w:t>
      </w:r>
      <w:r w:rsidRPr="00B9691A">
        <w:t xml:space="preserve">. Accessed </w:t>
      </w:r>
      <w:r>
        <w:t>May 18, 2023</w:t>
      </w:r>
      <w:r w:rsidRPr="00B9691A">
        <w:t>.</w:t>
      </w:r>
    </w:p>
    <w:p w14:paraId="611C350B" w14:textId="77777777" w:rsidR="00463F1E" w:rsidRDefault="00463F1E" w:rsidP="00463F1E">
      <w:pPr>
        <w:pStyle w:val="ListParagraph"/>
        <w:numPr>
          <w:ilvl w:val="0"/>
          <w:numId w:val="27"/>
        </w:numPr>
        <w:spacing w:line="480" w:lineRule="auto"/>
      </w:pPr>
      <w:r w:rsidRPr="00B9691A">
        <w:t>Bard, Google AI. "</w:t>
      </w:r>
      <w:r w:rsidRPr="00395DD6">
        <w:t xml:space="preserve"> Possible barriers to incorporating learners into research, strategies to overcome, and outcomes</w:t>
      </w:r>
      <w:r w:rsidRPr="00B9691A">
        <w:t xml:space="preserve">." Bard, Google AI, </w:t>
      </w:r>
      <w:r>
        <w:t>May 18, 2023</w:t>
      </w:r>
      <w:r w:rsidRPr="00B9691A">
        <w:t xml:space="preserve">. Accessed </w:t>
      </w:r>
      <w:r>
        <w:t>May 18, 2023</w:t>
      </w:r>
      <w:r w:rsidRPr="00B9691A">
        <w:t>.</w:t>
      </w:r>
    </w:p>
    <w:p w14:paraId="6BDA8191" w14:textId="77777777" w:rsidR="00463F1E" w:rsidRDefault="00463F1E" w:rsidP="00463F1E">
      <w:pPr>
        <w:spacing w:line="480" w:lineRule="auto"/>
      </w:pPr>
    </w:p>
    <w:p w14:paraId="45D693E3" w14:textId="77777777" w:rsidR="00463F1E" w:rsidRDefault="00463F1E" w:rsidP="00463F1E">
      <w:pPr>
        <w:spacing w:line="480" w:lineRule="auto"/>
      </w:pPr>
    </w:p>
    <w:p w14:paraId="5FBCD45B" w14:textId="77777777" w:rsidR="00463F1E" w:rsidRPr="00463F1E" w:rsidRDefault="00463F1E" w:rsidP="00463F1E">
      <w:pPr>
        <w:spacing w:line="480" w:lineRule="auto"/>
      </w:pPr>
    </w:p>
    <w:p w14:paraId="3E686AF8" w14:textId="4482A322" w:rsidR="00321ABB" w:rsidRDefault="00321ABB" w:rsidP="00640DCE">
      <w:pPr>
        <w:spacing w:line="480" w:lineRule="auto"/>
        <w:rPr>
          <w:b/>
          <w:bCs/>
        </w:rPr>
      </w:pPr>
      <w:r w:rsidRPr="00E50514">
        <w:rPr>
          <w:b/>
          <w:bCs/>
        </w:rPr>
        <w:t>Table 1.</w:t>
      </w:r>
      <w:r>
        <w:rPr>
          <w:b/>
          <w:bCs/>
        </w:rPr>
        <w:t xml:space="preserve"> Summary of</w:t>
      </w:r>
      <w:r w:rsidRPr="00E50514">
        <w:rPr>
          <w:b/>
          <w:bCs/>
        </w:rPr>
        <w:t xml:space="preserve"> Potential Benefits to Key Stakeholders of Incorporating Learners into Research and Quality Improvement Projects</w:t>
      </w:r>
      <w:r w:rsidR="003D22D1" w:rsidRPr="003D22D1">
        <w:rPr>
          <w:b/>
          <w:bCs/>
          <w:vertAlign w:val="superscript"/>
        </w:rPr>
        <w:t>46</w:t>
      </w:r>
    </w:p>
    <w:tbl>
      <w:tblPr>
        <w:tblStyle w:val="TableGrid"/>
        <w:tblW w:w="0" w:type="auto"/>
        <w:tblLook w:val="04A0" w:firstRow="1" w:lastRow="0" w:firstColumn="1" w:lastColumn="0" w:noHBand="0" w:noVBand="1"/>
      </w:tblPr>
      <w:tblGrid>
        <w:gridCol w:w="4224"/>
        <w:gridCol w:w="1281"/>
        <w:gridCol w:w="1282"/>
        <w:gridCol w:w="1281"/>
        <w:gridCol w:w="1282"/>
      </w:tblGrid>
      <w:tr w:rsidR="00321ABB" w14:paraId="5342E871" w14:textId="77777777" w:rsidTr="00054045">
        <w:tc>
          <w:tcPr>
            <w:tcW w:w="4224" w:type="dxa"/>
          </w:tcPr>
          <w:p w14:paraId="46DC8DCD" w14:textId="77777777" w:rsidR="00321ABB" w:rsidRDefault="00321ABB" w:rsidP="00054045">
            <w:pPr>
              <w:rPr>
                <w:b/>
                <w:bCs/>
              </w:rPr>
            </w:pPr>
            <w:r>
              <w:rPr>
                <w:b/>
                <w:bCs/>
              </w:rPr>
              <w:t>Benefit</w:t>
            </w:r>
          </w:p>
        </w:tc>
        <w:tc>
          <w:tcPr>
            <w:tcW w:w="1281" w:type="dxa"/>
          </w:tcPr>
          <w:p w14:paraId="1638C5EB" w14:textId="77777777" w:rsidR="00321ABB" w:rsidRDefault="00321ABB" w:rsidP="00054045">
            <w:pPr>
              <w:rPr>
                <w:b/>
                <w:bCs/>
              </w:rPr>
            </w:pPr>
            <w:r>
              <w:rPr>
                <w:b/>
                <w:bCs/>
              </w:rPr>
              <w:t>Student</w:t>
            </w:r>
          </w:p>
        </w:tc>
        <w:tc>
          <w:tcPr>
            <w:tcW w:w="1282" w:type="dxa"/>
          </w:tcPr>
          <w:p w14:paraId="1B0D970C" w14:textId="77777777" w:rsidR="00321ABB" w:rsidRDefault="00321ABB" w:rsidP="00054045">
            <w:pPr>
              <w:rPr>
                <w:b/>
                <w:bCs/>
              </w:rPr>
            </w:pPr>
            <w:r>
              <w:rPr>
                <w:b/>
                <w:bCs/>
              </w:rPr>
              <w:t>Residents</w:t>
            </w:r>
          </w:p>
        </w:tc>
        <w:tc>
          <w:tcPr>
            <w:tcW w:w="1281" w:type="dxa"/>
          </w:tcPr>
          <w:p w14:paraId="7368768E" w14:textId="77777777" w:rsidR="00321ABB" w:rsidRDefault="00321ABB" w:rsidP="00054045">
            <w:pPr>
              <w:rPr>
                <w:b/>
                <w:bCs/>
              </w:rPr>
            </w:pPr>
            <w:r>
              <w:rPr>
                <w:b/>
                <w:bCs/>
              </w:rPr>
              <w:t>Mentors</w:t>
            </w:r>
          </w:p>
        </w:tc>
        <w:tc>
          <w:tcPr>
            <w:tcW w:w="1282" w:type="dxa"/>
          </w:tcPr>
          <w:p w14:paraId="09992591" w14:textId="77777777" w:rsidR="00321ABB" w:rsidRDefault="00321ABB" w:rsidP="00054045">
            <w:pPr>
              <w:rPr>
                <w:b/>
                <w:bCs/>
              </w:rPr>
            </w:pPr>
            <w:r>
              <w:rPr>
                <w:b/>
                <w:bCs/>
              </w:rPr>
              <w:t>Institutions</w:t>
            </w:r>
          </w:p>
        </w:tc>
      </w:tr>
      <w:tr w:rsidR="00321ABB" w14:paraId="43FA9635" w14:textId="77777777" w:rsidTr="00054045">
        <w:tc>
          <w:tcPr>
            <w:tcW w:w="4224" w:type="dxa"/>
          </w:tcPr>
          <w:p w14:paraId="48DC1CCE" w14:textId="77777777" w:rsidR="00321ABB" w:rsidRPr="00E50514" w:rsidRDefault="00321ABB" w:rsidP="00054045">
            <w:r>
              <w:t>Develop critical thinking and clinical reasoning skills</w:t>
            </w:r>
          </w:p>
        </w:tc>
        <w:tc>
          <w:tcPr>
            <w:tcW w:w="1281" w:type="dxa"/>
          </w:tcPr>
          <w:p w14:paraId="3F49D7F0" w14:textId="77777777" w:rsidR="00321ABB" w:rsidRPr="00E50514" w:rsidRDefault="00321ABB" w:rsidP="00054045">
            <w:r w:rsidRPr="00E50514">
              <w:t>X</w:t>
            </w:r>
          </w:p>
        </w:tc>
        <w:tc>
          <w:tcPr>
            <w:tcW w:w="1282" w:type="dxa"/>
          </w:tcPr>
          <w:p w14:paraId="0EEDE882" w14:textId="77777777" w:rsidR="00321ABB" w:rsidRPr="00E50514" w:rsidRDefault="00321ABB" w:rsidP="00054045">
            <w:r w:rsidRPr="00E50514">
              <w:t>X</w:t>
            </w:r>
          </w:p>
        </w:tc>
        <w:tc>
          <w:tcPr>
            <w:tcW w:w="1281" w:type="dxa"/>
          </w:tcPr>
          <w:p w14:paraId="57FD804B" w14:textId="77777777" w:rsidR="00321ABB" w:rsidRPr="00E50514" w:rsidRDefault="00321ABB" w:rsidP="00054045">
            <w:r w:rsidRPr="00E50514">
              <w:t>X</w:t>
            </w:r>
          </w:p>
        </w:tc>
        <w:tc>
          <w:tcPr>
            <w:tcW w:w="1282" w:type="dxa"/>
          </w:tcPr>
          <w:p w14:paraId="332F9883" w14:textId="77777777" w:rsidR="00321ABB" w:rsidRDefault="00321ABB" w:rsidP="00054045">
            <w:pPr>
              <w:rPr>
                <w:b/>
                <w:bCs/>
              </w:rPr>
            </w:pPr>
          </w:p>
        </w:tc>
      </w:tr>
      <w:tr w:rsidR="00321ABB" w14:paraId="62ED81F3" w14:textId="77777777" w:rsidTr="00054045">
        <w:tc>
          <w:tcPr>
            <w:tcW w:w="4224" w:type="dxa"/>
          </w:tcPr>
          <w:p w14:paraId="7F614711" w14:textId="77777777" w:rsidR="00321ABB" w:rsidRPr="00E50514" w:rsidRDefault="00321ABB" w:rsidP="00054045">
            <w:r w:rsidRPr="00E50514">
              <w:t>Highlight the importance of evidence-based practice</w:t>
            </w:r>
          </w:p>
        </w:tc>
        <w:tc>
          <w:tcPr>
            <w:tcW w:w="1281" w:type="dxa"/>
          </w:tcPr>
          <w:p w14:paraId="51F052E2" w14:textId="77777777" w:rsidR="00321ABB" w:rsidRDefault="00321ABB" w:rsidP="00054045">
            <w:pPr>
              <w:rPr>
                <w:b/>
                <w:bCs/>
              </w:rPr>
            </w:pPr>
            <w:r w:rsidRPr="00E50514">
              <w:t>X</w:t>
            </w:r>
          </w:p>
        </w:tc>
        <w:tc>
          <w:tcPr>
            <w:tcW w:w="1282" w:type="dxa"/>
          </w:tcPr>
          <w:p w14:paraId="0BA87DC0" w14:textId="77777777" w:rsidR="00321ABB" w:rsidRDefault="00321ABB" w:rsidP="00054045">
            <w:pPr>
              <w:rPr>
                <w:b/>
                <w:bCs/>
              </w:rPr>
            </w:pPr>
            <w:r w:rsidRPr="00E50514">
              <w:t>X</w:t>
            </w:r>
          </w:p>
        </w:tc>
        <w:tc>
          <w:tcPr>
            <w:tcW w:w="1281" w:type="dxa"/>
          </w:tcPr>
          <w:p w14:paraId="59ECD377" w14:textId="77777777" w:rsidR="00321ABB" w:rsidRDefault="00321ABB" w:rsidP="00054045">
            <w:pPr>
              <w:rPr>
                <w:b/>
                <w:bCs/>
              </w:rPr>
            </w:pPr>
            <w:r w:rsidRPr="00E50514">
              <w:t>X</w:t>
            </w:r>
          </w:p>
        </w:tc>
        <w:tc>
          <w:tcPr>
            <w:tcW w:w="1282" w:type="dxa"/>
          </w:tcPr>
          <w:p w14:paraId="6D795638" w14:textId="77777777" w:rsidR="00321ABB" w:rsidRDefault="00321ABB" w:rsidP="00054045">
            <w:pPr>
              <w:rPr>
                <w:b/>
                <w:bCs/>
              </w:rPr>
            </w:pPr>
          </w:p>
        </w:tc>
      </w:tr>
      <w:tr w:rsidR="00321ABB" w14:paraId="479324CE" w14:textId="77777777" w:rsidTr="00054045">
        <w:tc>
          <w:tcPr>
            <w:tcW w:w="4224" w:type="dxa"/>
          </w:tcPr>
          <w:p w14:paraId="4C9F3ECA" w14:textId="2DC3E1E4" w:rsidR="00321ABB" w:rsidRPr="00E50514" w:rsidRDefault="00321ABB" w:rsidP="00054045">
            <w:r>
              <w:t xml:space="preserve">Expand </w:t>
            </w:r>
            <w:r w:rsidR="002F5ACA">
              <w:t>professional</w:t>
            </w:r>
            <w:r>
              <w:t xml:space="preserve"> skills including time and project management, teamwork and collaboration, and mentorship</w:t>
            </w:r>
          </w:p>
        </w:tc>
        <w:tc>
          <w:tcPr>
            <w:tcW w:w="1281" w:type="dxa"/>
          </w:tcPr>
          <w:p w14:paraId="14389A5C" w14:textId="77777777" w:rsidR="00321ABB" w:rsidRDefault="00321ABB" w:rsidP="00054045">
            <w:pPr>
              <w:rPr>
                <w:b/>
                <w:bCs/>
              </w:rPr>
            </w:pPr>
            <w:r w:rsidRPr="00E50514">
              <w:t>X</w:t>
            </w:r>
          </w:p>
        </w:tc>
        <w:tc>
          <w:tcPr>
            <w:tcW w:w="1282" w:type="dxa"/>
          </w:tcPr>
          <w:p w14:paraId="5A868021" w14:textId="77777777" w:rsidR="00321ABB" w:rsidRDefault="00321ABB" w:rsidP="00054045">
            <w:pPr>
              <w:rPr>
                <w:b/>
                <w:bCs/>
              </w:rPr>
            </w:pPr>
            <w:r w:rsidRPr="00E50514">
              <w:t>X</w:t>
            </w:r>
          </w:p>
        </w:tc>
        <w:tc>
          <w:tcPr>
            <w:tcW w:w="1281" w:type="dxa"/>
          </w:tcPr>
          <w:p w14:paraId="74EE617B" w14:textId="77777777" w:rsidR="00321ABB" w:rsidRDefault="00321ABB" w:rsidP="00054045">
            <w:pPr>
              <w:rPr>
                <w:b/>
                <w:bCs/>
              </w:rPr>
            </w:pPr>
            <w:r w:rsidRPr="00E50514">
              <w:t>X</w:t>
            </w:r>
          </w:p>
        </w:tc>
        <w:tc>
          <w:tcPr>
            <w:tcW w:w="1282" w:type="dxa"/>
          </w:tcPr>
          <w:p w14:paraId="781E904F" w14:textId="77777777" w:rsidR="00321ABB" w:rsidRDefault="00321ABB" w:rsidP="00054045">
            <w:pPr>
              <w:rPr>
                <w:b/>
                <w:bCs/>
              </w:rPr>
            </w:pPr>
          </w:p>
        </w:tc>
      </w:tr>
      <w:tr w:rsidR="00321ABB" w14:paraId="5B8A63CA" w14:textId="77777777" w:rsidTr="00054045">
        <w:tc>
          <w:tcPr>
            <w:tcW w:w="4224" w:type="dxa"/>
          </w:tcPr>
          <w:p w14:paraId="72F7C148" w14:textId="77777777" w:rsidR="00321ABB" w:rsidRPr="00E50514" w:rsidRDefault="00321ABB" w:rsidP="00054045">
            <w:r w:rsidRPr="00E50514">
              <w:t>Develop interest and comfort in participating and leading research endeavors in the future</w:t>
            </w:r>
          </w:p>
        </w:tc>
        <w:tc>
          <w:tcPr>
            <w:tcW w:w="1281" w:type="dxa"/>
          </w:tcPr>
          <w:p w14:paraId="25BEEE2E" w14:textId="77777777" w:rsidR="00321ABB" w:rsidRDefault="00321ABB" w:rsidP="00054045">
            <w:pPr>
              <w:rPr>
                <w:b/>
                <w:bCs/>
              </w:rPr>
            </w:pPr>
            <w:r w:rsidRPr="00E50514">
              <w:t>X</w:t>
            </w:r>
          </w:p>
        </w:tc>
        <w:tc>
          <w:tcPr>
            <w:tcW w:w="1282" w:type="dxa"/>
          </w:tcPr>
          <w:p w14:paraId="28C41A7A" w14:textId="77777777" w:rsidR="00321ABB" w:rsidRDefault="00321ABB" w:rsidP="00054045">
            <w:pPr>
              <w:rPr>
                <w:b/>
                <w:bCs/>
              </w:rPr>
            </w:pPr>
            <w:r w:rsidRPr="00E50514">
              <w:t>X</w:t>
            </w:r>
          </w:p>
        </w:tc>
        <w:tc>
          <w:tcPr>
            <w:tcW w:w="1281" w:type="dxa"/>
          </w:tcPr>
          <w:p w14:paraId="063883E7" w14:textId="77777777" w:rsidR="00321ABB" w:rsidRDefault="00321ABB" w:rsidP="00054045">
            <w:pPr>
              <w:rPr>
                <w:b/>
                <w:bCs/>
              </w:rPr>
            </w:pPr>
            <w:r w:rsidRPr="00E50514">
              <w:t>X</w:t>
            </w:r>
          </w:p>
        </w:tc>
        <w:tc>
          <w:tcPr>
            <w:tcW w:w="1282" w:type="dxa"/>
          </w:tcPr>
          <w:p w14:paraId="4128F6A1" w14:textId="77777777" w:rsidR="00321ABB" w:rsidRDefault="00321ABB" w:rsidP="00054045">
            <w:pPr>
              <w:rPr>
                <w:b/>
                <w:bCs/>
              </w:rPr>
            </w:pPr>
          </w:p>
        </w:tc>
      </w:tr>
      <w:tr w:rsidR="00321ABB" w14:paraId="6724C014" w14:textId="77777777" w:rsidTr="00054045">
        <w:tc>
          <w:tcPr>
            <w:tcW w:w="4224" w:type="dxa"/>
          </w:tcPr>
          <w:p w14:paraId="67232C66" w14:textId="598CD1F0" w:rsidR="00321ABB" w:rsidRPr="00E50514" w:rsidRDefault="00321ABB" w:rsidP="00054045">
            <w:r>
              <w:t xml:space="preserve">Increase likelihood of </w:t>
            </w:r>
            <w:r w:rsidR="00287572">
              <w:t>postgraduate</w:t>
            </w:r>
            <w:r w:rsidR="009D18A2">
              <w:t xml:space="preserve"> training or </w:t>
            </w:r>
            <w:r>
              <w:t>job placement</w:t>
            </w:r>
          </w:p>
        </w:tc>
        <w:tc>
          <w:tcPr>
            <w:tcW w:w="1281" w:type="dxa"/>
          </w:tcPr>
          <w:p w14:paraId="4B6B3419" w14:textId="77777777" w:rsidR="00321ABB" w:rsidRPr="00E50514" w:rsidRDefault="00321ABB" w:rsidP="00054045">
            <w:r w:rsidRPr="00E50514">
              <w:t>X</w:t>
            </w:r>
          </w:p>
        </w:tc>
        <w:tc>
          <w:tcPr>
            <w:tcW w:w="1282" w:type="dxa"/>
          </w:tcPr>
          <w:p w14:paraId="6ABA8443" w14:textId="77777777" w:rsidR="00321ABB" w:rsidRPr="00E50514" w:rsidRDefault="00321ABB" w:rsidP="00054045">
            <w:r w:rsidRPr="00E50514">
              <w:t>X</w:t>
            </w:r>
          </w:p>
        </w:tc>
        <w:tc>
          <w:tcPr>
            <w:tcW w:w="1281" w:type="dxa"/>
          </w:tcPr>
          <w:p w14:paraId="1070EEBC" w14:textId="77777777" w:rsidR="00321ABB" w:rsidRDefault="00321ABB" w:rsidP="00054045">
            <w:pPr>
              <w:rPr>
                <w:b/>
                <w:bCs/>
              </w:rPr>
            </w:pPr>
          </w:p>
        </w:tc>
        <w:tc>
          <w:tcPr>
            <w:tcW w:w="1282" w:type="dxa"/>
          </w:tcPr>
          <w:p w14:paraId="57836774" w14:textId="77777777" w:rsidR="00321ABB" w:rsidRDefault="00321ABB" w:rsidP="00054045">
            <w:pPr>
              <w:rPr>
                <w:b/>
                <w:bCs/>
              </w:rPr>
            </w:pPr>
          </w:p>
        </w:tc>
      </w:tr>
      <w:tr w:rsidR="00321ABB" w14:paraId="5AA1BA80" w14:textId="77777777" w:rsidTr="00054045">
        <w:tc>
          <w:tcPr>
            <w:tcW w:w="4224" w:type="dxa"/>
          </w:tcPr>
          <w:p w14:paraId="07E9B189" w14:textId="77777777" w:rsidR="00321ABB" w:rsidRPr="004203C3" w:rsidRDefault="00321ABB" w:rsidP="00054045">
            <w:r w:rsidRPr="004203C3">
              <w:t>Improve confidence in biostatistical analysis and literature evaluation skills</w:t>
            </w:r>
          </w:p>
        </w:tc>
        <w:tc>
          <w:tcPr>
            <w:tcW w:w="1281" w:type="dxa"/>
          </w:tcPr>
          <w:p w14:paraId="2B4C8852" w14:textId="77777777" w:rsidR="00321ABB" w:rsidRPr="004203C3" w:rsidRDefault="00321ABB" w:rsidP="00054045">
            <w:r w:rsidRPr="004203C3">
              <w:t>X</w:t>
            </w:r>
          </w:p>
        </w:tc>
        <w:tc>
          <w:tcPr>
            <w:tcW w:w="1282" w:type="dxa"/>
          </w:tcPr>
          <w:p w14:paraId="32168A6E" w14:textId="77777777" w:rsidR="00321ABB" w:rsidRPr="004203C3" w:rsidRDefault="00321ABB" w:rsidP="00054045">
            <w:r w:rsidRPr="004203C3">
              <w:t>X</w:t>
            </w:r>
          </w:p>
        </w:tc>
        <w:tc>
          <w:tcPr>
            <w:tcW w:w="1281" w:type="dxa"/>
          </w:tcPr>
          <w:p w14:paraId="25C9733B" w14:textId="77777777" w:rsidR="00321ABB" w:rsidRDefault="00321ABB" w:rsidP="00054045">
            <w:pPr>
              <w:rPr>
                <w:b/>
                <w:bCs/>
              </w:rPr>
            </w:pPr>
          </w:p>
        </w:tc>
        <w:tc>
          <w:tcPr>
            <w:tcW w:w="1282" w:type="dxa"/>
          </w:tcPr>
          <w:p w14:paraId="3C566D09" w14:textId="77777777" w:rsidR="00321ABB" w:rsidRDefault="00321ABB" w:rsidP="00054045">
            <w:pPr>
              <w:rPr>
                <w:b/>
                <w:bCs/>
              </w:rPr>
            </w:pPr>
          </w:p>
        </w:tc>
      </w:tr>
      <w:tr w:rsidR="00321ABB" w14:paraId="59F652AE" w14:textId="77777777" w:rsidTr="00054045">
        <w:tc>
          <w:tcPr>
            <w:tcW w:w="4224" w:type="dxa"/>
          </w:tcPr>
          <w:p w14:paraId="097C9E3D" w14:textId="77777777" w:rsidR="00321ABB" w:rsidRPr="004203C3" w:rsidRDefault="00321ABB" w:rsidP="00054045">
            <w:r w:rsidRPr="004203C3">
              <w:t>Create pool of collaborators for future research projects</w:t>
            </w:r>
          </w:p>
        </w:tc>
        <w:tc>
          <w:tcPr>
            <w:tcW w:w="1281" w:type="dxa"/>
          </w:tcPr>
          <w:p w14:paraId="0CCF468E" w14:textId="77777777" w:rsidR="00321ABB" w:rsidRDefault="00321ABB" w:rsidP="00054045">
            <w:pPr>
              <w:rPr>
                <w:b/>
                <w:bCs/>
              </w:rPr>
            </w:pPr>
          </w:p>
        </w:tc>
        <w:tc>
          <w:tcPr>
            <w:tcW w:w="1282" w:type="dxa"/>
          </w:tcPr>
          <w:p w14:paraId="06D27880" w14:textId="77777777" w:rsidR="00321ABB" w:rsidRDefault="00321ABB" w:rsidP="00054045">
            <w:pPr>
              <w:rPr>
                <w:b/>
                <w:bCs/>
              </w:rPr>
            </w:pPr>
          </w:p>
        </w:tc>
        <w:tc>
          <w:tcPr>
            <w:tcW w:w="1281" w:type="dxa"/>
          </w:tcPr>
          <w:p w14:paraId="536581D8" w14:textId="77777777" w:rsidR="00321ABB" w:rsidRPr="004203C3" w:rsidRDefault="00321ABB" w:rsidP="00054045">
            <w:r w:rsidRPr="004203C3">
              <w:t>X</w:t>
            </w:r>
          </w:p>
        </w:tc>
        <w:tc>
          <w:tcPr>
            <w:tcW w:w="1282" w:type="dxa"/>
          </w:tcPr>
          <w:p w14:paraId="78330FE9" w14:textId="45624D3B" w:rsidR="00321ABB" w:rsidRPr="00F56DCC" w:rsidRDefault="009D18A2" w:rsidP="00054045">
            <w:r w:rsidRPr="00F56DCC">
              <w:t>X</w:t>
            </w:r>
          </w:p>
        </w:tc>
      </w:tr>
      <w:tr w:rsidR="00321ABB" w14:paraId="2ADE9B21" w14:textId="77777777" w:rsidTr="00054045">
        <w:tc>
          <w:tcPr>
            <w:tcW w:w="4224" w:type="dxa"/>
          </w:tcPr>
          <w:p w14:paraId="59CED2EC" w14:textId="77777777" w:rsidR="00321ABB" w:rsidRPr="004203C3" w:rsidRDefault="00321ABB" w:rsidP="00054045">
            <w:r>
              <w:t>Network with other researchers in a similar field</w:t>
            </w:r>
          </w:p>
        </w:tc>
        <w:tc>
          <w:tcPr>
            <w:tcW w:w="1281" w:type="dxa"/>
          </w:tcPr>
          <w:p w14:paraId="6E7E8F48" w14:textId="77777777" w:rsidR="00321ABB" w:rsidRPr="00240978" w:rsidRDefault="00321ABB" w:rsidP="00054045">
            <w:r w:rsidRPr="00240978">
              <w:t>X</w:t>
            </w:r>
          </w:p>
        </w:tc>
        <w:tc>
          <w:tcPr>
            <w:tcW w:w="1282" w:type="dxa"/>
          </w:tcPr>
          <w:p w14:paraId="084BBE69" w14:textId="77777777" w:rsidR="00321ABB" w:rsidRPr="00240978" w:rsidRDefault="00321ABB" w:rsidP="00054045">
            <w:r w:rsidRPr="00240978">
              <w:t>X</w:t>
            </w:r>
          </w:p>
        </w:tc>
        <w:tc>
          <w:tcPr>
            <w:tcW w:w="1281" w:type="dxa"/>
          </w:tcPr>
          <w:p w14:paraId="5CD4825B" w14:textId="77777777" w:rsidR="00321ABB" w:rsidRPr="004203C3" w:rsidRDefault="00321ABB" w:rsidP="00054045">
            <w:r>
              <w:t>X</w:t>
            </w:r>
          </w:p>
        </w:tc>
        <w:tc>
          <w:tcPr>
            <w:tcW w:w="1282" w:type="dxa"/>
          </w:tcPr>
          <w:p w14:paraId="5F99D072" w14:textId="77777777" w:rsidR="00321ABB" w:rsidRDefault="00321ABB" w:rsidP="00054045">
            <w:pPr>
              <w:rPr>
                <w:b/>
                <w:bCs/>
              </w:rPr>
            </w:pPr>
          </w:p>
        </w:tc>
      </w:tr>
      <w:tr w:rsidR="00321ABB" w14:paraId="65DE7F0D" w14:textId="77777777" w:rsidTr="00054045">
        <w:tc>
          <w:tcPr>
            <w:tcW w:w="4224" w:type="dxa"/>
          </w:tcPr>
          <w:p w14:paraId="38F2022D" w14:textId="77777777" w:rsidR="00321ABB" w:rsidRPr="004203C3" w:rsidRDefault="00321ABB" w:rsidP="00054045">
            <w:r>
              <w:t>Increase research deliverables, productivity and funding received</w:t>
            </w:r>
          </w:p>
        </w:tc>
        <w:tc>
          <w:tcPr>
            <w:tcW w:w="1281" w:type="dxa"/>
          </w:tcPr>
          <w:p w14:paraId="374A533D" w14:textId="77777777" w:rsidR="00321ABB" w:rsidRDefault="00321ABB" w:rsidP="00054045">
            <w:pPr>
              <w:rPr>
                <w:b/>
                <w:bCs/>
              </w:rPr>
            </w:pPr>
          </w:p>
        </w:tc>
        <w:tc>
          <w:tcPr>
            <w:tcW w:w="1282" w:type="dxa"/>
          </w:tcPr>
          <w:p w14:paraId="39680B4D" w14:textId="77777777" w:rsidR="00321ABB" w:rsidRDefault="00321ABB" w:rsidP="00054045">
            <w:pPr>
              <w:rPr>
                <w:b/>
                <w:bCs/>
              </w:rPr>
            </w:pPr>
          </w:p>
        </w:tc>
        <w:tc>
          <w:tcPr>
            <w:tcW w:w="1281" w:type="dxa"/>
          </w:tcPr>
          <w:p w14:paraId="67864F07" w14:textId="77777777" w:rsidR="00321ABB" w:rsidRPr="004203C3" w:rsidRDefault="00321ABB" w:rsidP="00054045">
            <w:r>
              <w:t>X</w:t>
            </w:r>
          </w:p>
        </w:tc>
        <w:tc>
          <w:tcPr>
            <w:tcW w:w="1282" w:type="dxa"/>
          </w:tcPr>
          <w:p w14:paraId="2692B961" w14:textId="77777777" w:rsidR="00321ABB" w:rsidRPr="004203C3" w:rsidRDefault="00321ABB" w:rsidP="00054045">
            <w:r w:rsidRPr="004203C3">
              <w:t>X</w:t>
            </w:r>
          </w:p>
        </w:tc>
      </w:tr>
      <w:tr w:rsidR="00321ABB" w14:paraId="57716E9C" w14:textId="77777777" w:rsidTr="00054045">
        <w:tc>
          <w:tcPr>
            <w:tcW w:w="4224" w:type="dxa"/>
          </w:tcPr>
          <w:p w14:paraId="23BCF422" w14:textId="77777777" w:rsidR="00321ABB" w:rsidRDefault="00321ABB" w:rsidP="00054045">
            <w:r>
              <w:t>Provide sense of purpose to help reduce burnout and improve wellbeing through mentorship</w:t>
            </w:r>
          </w:p>
        </w:tc>
        <w:tc>
          <w:tcPr>
            <w:tcW w:w="1281" w:type="dxa"/>
          </w:tcPr>
          <w:p w14:paraId="22EE9119" w14:textId="77777777" w:rsidR="00321ABB" w:rsidRDefault="00321ABB" w:rsidP="00054045">
            <w:pPr>
              <w:rPr>
                <w:b/>
                <w:bCs/>
              </w:rPr>
            </w:pPr>
          </w:p>
        </w:tc>
        <w:tc>
          <w:tcPr>
            <w:tcW w:w="1282" w:type="dxa"/>
          </w:tcPr>
          <w:p w14:paraId="35413045" w14:textId="77777777" w:rsidR="00321ABB" w:rsidRDefault="00321ABB" w:rsidP="00054045">
            <w:pPr>
              <w:rPr>
                <w:b/>
                <w:bCs/>
              </w:rPr>
            </w:pPr>
          </w:p>
        </w:tc>
        <w:tc>
          <w:tcPr>
            <w:tcW w:w="1281" w:type="dxa"/>
          </w:tcPr>
          <w:p w14:paraId="20E585C9" w14:textId="77777777" w:rsidR="00321ABB" w:rsidRDefault="00321ABB" w:rsidP="00054045">
            <w:r>
              <w:t>X</w:t>
            </w:r>
          </w:p>
        </w:tc>
        <w:tc>
          <w:tcPr>
            <w:tcW w:w="1282" w:type="dxa"/>
          </w:tcPr>
          <w:p w14:paraId="204A24C5" w14:textId="77777777" w:rsidR="00321ABB" w:rsidRPr="004203C3" w:rsidRDefault="00321ABB" w:rsidP="00054045">
            <w:r>
              <w:t>X</w:t>
            </w:r>
          </w:p>
        </w:tc>
      </w:tr>
      <w:tr w:rsidR="00321ABB" w14:paraId="7383C384" w14:textId="77777777" w:rsidTr="00054045">
        <w:tc>
          <w:tcPr>
            <w:tcW w:w="4224" w:type="dxa"/>
          </w:tcPr>
          <w:p w14:paraId="35AD36BB" w14:textId="77777777" w:rsidR="00321ABB" w:rsidRDefault="00321ABB" w:rsidP="00054045">
            <w:r>
              <w:t>Provide monetary and professional return on investment</w:t>
            </w:r>
          </w:p>
        </w:tc>
        <w:tc>
          <w:tcPr>
            <w:tcW w:w="1281" w:type="dxa"/>
          </w:tcPr>
          <w:p w14:paraId="51197887" w14:textId="77777777" w:rsidR="00321ABB" w:rsidRDefault="00321ABB" w:rsidP="00054045">
            <w:pPr>
              <w:rPr>
                <w:b/>
                <w:bCs/>
              </w:rPr>
            </w:pPr>
          </w:p>
        </w:tc>
        <w:tc>
          <w:tcPr>
            <w:tcW w:w="1282" w:type="dxa"/>
          </w:tcPr>
          <w:p w14:paraId="5931AFA7" w14:textId="77777777" w:rsidR="00321ABB" w:rsidRDefault="00321ABB" w:rsidP="00054045">
            <w:pPr>
              <w:rPr>
                <w:b/>
                <w:bCs/>
              </w:rPr>
            </w:pPr>
          </w:p>
        </w:tc>
        <w:tc>
          <w:tcPr>
            <w:tcW w:w="1281" w:type="dxa"/>
          </w:tcPr>
          <w:p w14:paraId="622C86FD" w14:textId="77777777" w:rsidR="00321ABB" w:rsidRDefault="00321ABB" w:rsidP="00054045"/>
        </w:tc>
        <w:tc>
          <w:tcPr>
            <w:tcW w:w="1282" w:type="dxa"/>
          </w:tcPr>
          <w:p w14:paraId="61437246" w14:textId="77777777" w:rsidR="00321ABB" w:rsidRDefault="00321ABB" w:rsidP="00054045">
            <w:r>
              <w:t>X</w:t>
            </w:r>
          </w:p>
        </w:tc>
      </w:tr>
    </w:tbl>
    <w:p w14:paraId="20F081DC" w14:textId="77777777" w:rsidR="00321ABB" w:rsidRDefault="00321ABB" w:rsidP="00321ABB">
      <w:pPr>
        <w:rPr>
          <w:b/>
          <w:bCs/>
        </w:rPr>
      </w:pPr>
    </w:p>
    <w:p w14:paraId="76986073" w14:textId="77777777" w:rsidR="00640DCE" w:rsidRDefault="00640DCE" w:rsidP="00321ABB">
      <w:pPr>
        <w:rPr>
          <w:b/>
          <w:bCs/>
        </w:rPr>
      </w:pPr>
    </w:p>
    <w:p w14:paraId="2CDDF03E" w14:textId="77777777" w:rsidR="00640DCE" w:rsidRDefault="00640DCE" w:rsidP="00321ABB">
      <w:pPr>
        <w:rPr>
          <w:b/>
          <w:bCs/>
        </w:rPr>
      </w:pPr>
    </w:p>
    <w:p w14:paraId="5D0C86B1" w14:textId="77777777" w:rsidR="00640DCE" w:rsidRDefault="00640DCE" w:rsidP="00321ABB">
      <w:pPr>
        <w:rPr>
          <w:b/>
          <w:bCs/>
        </w:rPr>
      </w:pPr>
    </w:p>
    <w:p w14:paraId="1BD0054F" w14:textId="77777777" w:rsidR="00640DCE" w:rsidRDefault="00640DCE" w:rsidP="00321ABB">
      <w:pPr>
        <w:rPr>
          <w:b/>
          <w:bCs/>
        </w:rPr>
      </w:pPr>
    </w:p>
    <w:p w14:paraId="0AD132CD" w14:textId="77777777" w:rsidR="00640DCE" w:rsidRDefault="00640DCE" w:rsidP="00321ABB">
      <w:pPr>
        <w:rPr>
          <w:b/>
          <w:bCs/>
        </w:rPr>
      </w:pPr>
    </w:p>
    <w:p w14:paraId="15B439D8" w14:textId="77777777" w:rsidR="00F85A33" w:rsidRDefault="00F85A33" w:rsidP="00321ABB">
      <w:pPr>
        <w:rPr>
          <w:b/>
          <w:bCs/>
        </w:rPr>
      </w:pPr>
    </w:p>
    <w:p w14:paraId="4CD9AA7F" w14:textId="77777777" w:rsidR="00F85A33" w:rsidRDefault="00F85A33" w:rsidP="00321ABB">
      <w:pPr>
        <w:rPr>
          <w:b/>
          <w:bCs/>
        </w:rPr>
      </w:pPr>
    </w:p>
    <w:p w14:paraId="2A7377E8" w14:textId="77777777" w:rsidR="00640DCE" w:rsidRDefault="00640DCE" w:rsidP="00321ABB">
      <w:pPr>
        <w:rPr>
          <w:b/>
          <w:bCs/>
        </w:rPr>
      </w:pPr>
    </w:p>
    <w:p w14:paraId="682D3941" w14:textId="77777777" w:rsidR="00640DCE" w:rsidRDefault="00640DCE" w:rsidP="00321ABB">
      <w:pPr>
        <w:rPr>
          <w:b/>
          <w:bCs/>
        </w:rPr>
      </w:pPr>
    </w:p>
    <w:p w14:paraId="45B2A5C5" w14:textId="29FA4E7A" w:rsidR="00321ABB" w:rsidRDefault="00321ABB" w:rsidP="00640DCE">
      <w:pPr>
        <w:spacing w:line="480" w:lineRule="auto"/>
        <w:rPr>
          <w:b/>
          <w:bCs/>
        </w:rPr>
      </w:pPr>
      <w:r w:rsidRPr="7EB4FAB9">
        <w:rPr>
          <w:b/>
          <w:bCs/>
        </w:rPr>
        <w:t>Table 2. Summary of Possible Barriers to Incorporating Learners into Research, Strategies to Overcome, and Outcomes</w:t>
      </w:r>
      <w:r w:rsidR="003D22D1" w:rsidRPr="003D22D1">
        <w:rPr>
          <w:b/>
          <w:bCs/>
          <w:vertAlign w:val="superscript"/>
        </w:rPr>
        <w:t>47</w:t>
      </w:r>
    </w:p>
    <w:tbl>
      <w:tblPr>
        <w:tblStyle w:val="TableGrid"/>
        <w:tblW w:w="0" w:type="auto"/>
        <w:tblLook w:val="04A0" w:firstRow="1" w:lastRow="0" w:firstColumn="1" w:lastColumn="0" w:noHBand="0" w:noVBand="1"/>
      </w:tblPr>
      <w:tblGrid>
        <w:gridCol w:w="2555"/>
        <w:gridCol w:w="2566"/>
        <w:gridCol w:w="2032"/>
        <w:gridCol w:w="2197"/>
      </w:tblGrid>
      <w:tr w:rsidR="00321ABB" w14:paraId="6602E098" w14:textId="77777777" w:rsidTr="7BBD1B22">
        <w:tc>
          <w:tcPr>
            <w:tcW w:w="2555" w:type="dxa"/>
          </w:tcPr>
          <w:p w14:paraId="718E5007" w14:textId="77777777" w:rsidR="00321ABB" w:rsidRDefault="00321ABB" w:rsidP="00054045">
            <w:pPr>
              <w:rPr>
                <w:b/>
                <w:bCs/>
              </w:rPr>
            </w:pPr>
            <w:r>
              <w:rPr>
                <w:b/>
                <w:bCs/>
              </w:rPr>
              <w:t>Barrier</w:t>
            </w:r>
          </w:p>
        </w:tc>
        <w:tc>
          <w:tcPr>
            <w:tcW w:w="2566" w:type="dxa"/>
          </w:tcPr>
          <w:p w14:paraId="7BA11819" w14:textId="77777777" w:rsidR="00321ABB" w:rsidRDefault="00321ABB" w:rsidP="00054045">
            <w:pPr>
              <w:rPr>
                <w:b/>
                <w:bCs/>
              </w:rPr>
            </w:pPr>
            <w:r>
              <w:rPr>
                <w:b/>
                <w:bCs/>
              </w:rPr>
              <w:t>How to Overcome</w:t>
            </w:r>
          </w:p>
        </w:tc>
        <w:tc>
          <w:tcPr>
            <w:tcW w:w="2032" w:type="dxa"/>
          </w:tcPr>
          <w:p w14:paraId="6E266526" w14:textId="77777777" w:rsidR="00321ABB" w:rsidRDefault="00321ABB" w:rsidP="00054045">
            <w:pPr>
              <w:rPr>
                <w:b/>
                <w:bCs/>
              </w:rPr>
            </w:pPr>
            <w:r>
              <w:rPr>
                <w:b/>
                <w:bCs/>
              </w:rPr>
              <w:t>Learner Outcomes</w:t>
            </w:r>
          </w:p>
        </w:tc>
        <w:tc>
          <w:tcPr>
            <w:tcW w:w="2197" w:type="dxa"/>
          </w:tcPr>
          <w:p w14:paraId="52035C90" w14:textId="77777777" w:rsidR="00321ABB" w:rsidRDefault="00321ABB" w:rsidP="00054045">
            <w:pPr>
              <w:rPr>
                <w:b/>
                <w:bCs/>
              </w:rPr>
            </w:pPr>
            <w:r>
              <w:rPr>
                <w:b/>
                <w:bCs/>
              </w:rPr>
              <w:t>Mentor Outcomes</w:t>
            </w:r>
          </w:p>
        </w:tc>
      </w:tr>
      <w:tr w:rsidR="00321ABB" w:rsidRPr="002F5ACA" w14:paraId="234232FE" w14:textId="77777777" w:rsidTr="7BBD1B22">
        <w:tc>
          <w:tcPr>
            <w:tcW w:w="2555" w:type="dxa"/>
            <w:vAlign w:val="center"/>
          </w:tcPr>
          <w:p w14:paraId="176F10B8" w14:textId="77777777" w:rsidR="00321ABB" w:rsidRPr="002F5ACA" w:rsidRDefault="00321ABB" w:rsidP="00054045">
            <w:pPr>
              <w:rPr>
                <w:rFonts w:cstheme="minorHAnsi"/>
              </w:rPr>
            </w:pPr>
            <w:r w:rsidRPr="002F5ACA">
              <w:rPr>
                <w:rFonts w:eastAsia="Times New Roman" w:cstheme="minorHAnsi"/>
                <w:color w:val="1F1F1F"/>
              </w:rPr>
              <w:t>Lack of familiarity with the research process</w:t>
            </w:r>
          </w:p>
        </w:tc>
        <w:tc>
          <w:tcPr>
            <w:tcW w:w="2566" w:type="dxa"/>
            <w:vAlign w:val="center"/>
          </w:tcPr>
          <w:p w14:paraId="1AE13318" w14:textId="77777777" w:rsidR="00321ABB" w:rsidRPr="002F5ACA" w:rsidRDefault="00321ABB" w:rsidP="00054045">
            <w:pPr>
              <w:rPr>
                <w:rFonts w:cstheme="minorHAnsi"/>
              </w:rPr>
            </w:pPr>
            <w:r w:rsidRPr="002F5ACA">
              <w:rPr>
                <w:rFonts w:eastAsia="Times New Roman" w:cstheme="minorHAnsi"/>
                <w:color w:val="1F1F1F"/>
              </w:rPr>
              <w:t>Provide learners with training on the research process, including topics such as research design, data collection, statistical analysis, and dissemination.</w:t>
            </w:r>
          </w:p>
        </w:tc>
        <w:tc>
          <w:tcPr>
            <w:tcW w:w="2032" w:type="dxa"/>
            <w:vAlign w:val="center"/>
          </w:tcPr>
          <w:p w14:paraId="4C71E7CD" w14:textId="5011DCCE" w:rsidR="00321ABB" w:rsidRPr="002F5ACA" w:rsidRDefault="00640DCE" w:rsidP="00054045">
            <w:r>
              <w:rPr>
                <w:rFonts w:eastAsia="Times New Roman"/>
                <w:color w:val="1F1F1F"/>
              </w:rPr>
              <w:t>Develop</w:t>
            </w:r>
            <w:r w:rsidR="00321ABB" w:rsidRPr="002F5ACA">
              <w:rPr>
                <w:rFonts w:eastAsia="Times New Roman"/>
                <w:color w:val="1F1F1F"/>
              </w:rPr>
              <w:t xml:space="preserve"> the skills and knowledge necessary to conduct research and disseminate findings.</w:t>
            </w:r>
          </w:p>
        </w:tc>
        <w:tc>
          <w:tcPr>
            <w:tcW w:w="2197" w:type="dxa"/>
            <w:vAlign w:val="center"/>
          </w:tcPr>
          <w:p w14:paraId="48D67345" w14:textId="5B4D3A48" w:rsidR="00321ABB" w:rsidRPr="002F5ACA" w:rsidRDefault="00640DCE" w:rsidP="00054045">
            <w:pPr>
              <w:rPr>
                <w:rFonts w:eastAsia="Times New Roman" w:cstheme="minorHAnsi"/>
                <w:color w:val="1F1F1F"/>
              </w:rPr>
            </w:pPr>
            <w:r>
              <w:rPr>
                <w:rFonts w:eastAsia="Times New Roman" w:cstheme="minorHAnsi"/>
                <w:color w:val="1F1F1F"/>
              </w:rPr>
              <w:t>Gain</w:t>
            </w:r>
            <w:r w:rsidR="00321ABB" w:rsidRPr="002F5ACA">
              <w:rPr>
                <w:rFonts w:eastAsia="Times New Roman" w:cstheme="minorHAnsi"/>
                <w:color w:val="1F1F1F"/>
              </w:rPr>
              <w:t xml:space="preserve"> access to a pool of trained researchers who can collaborate with them in the future.</w:t>
            </w:r>
          </w:p>
          <w:p w14:paraId="66110910" w14:textId="77777777" w:rsidR="00321ABB" w:rsidRPr="002F5ACA" w:rsidRDefault="00321ABB" w:rsidP="00054045">
            <w:pPr>
              <w:rPr>
                <w:rFonts w:cstheme="minorHAnsi"/>
              </w:rPr>
            </w:pPr>
          </w:p>
          <w:p w14:paraId="36959357" w14:textId="4B120042" w:rsidR="00321ABB" w:rsidRPr="002F5ACA" w:rsidRDefault="00640DCE" w:rsidP="7BBD1B22">
            <w:r>
              <w:t>Increase</w:t>
            </w:r>
            <w:r w:rsidR="6E951B18" w:rsidRPr="002F5ACA">
              <w:t xml:space="preserve"> proficien</w:t>
            </w:r>
            <w:r>
              <w:t>cy</w:t>
            </w:r>
            <w:r w:rsidR="6E951B18" w:rsidRPr="002F5ACA">
              <w:t xml:space="preserve"> and knowledge in the research process </w:t>
            </w:r>
          </w:p>
        </w:tc>
      </w:tr>
      <w:tr w:rsidR="00321ABB" w:rsidRPr="002F5ACA" w14:paraId="619B2347" w14:textId="77777777" w:rsidTr="7BBD1B22">
        <w:tc>
          <w:tcPr>
            <w:tcW w:w="2555" w:type="dxa"/>
            <w:vAlign w:val="center"/>
          </w:tcPr>
          <w:p w14:paraId="3DAB1191" w14:textId="77777777" w:rsidR="00321ABB" w:rsidRPr="002F5ACA" w:rsidRDefault="00321ABB" w:rsidP="00054045">
            <w:pPr>
              <w:rPr>
                <w:rFonts w:cstheme="minorHAnsi"/>
              </w:rPr>
            </w:pPr>
            <w:r w:rsidRPr="002F5ACA">
              <w:rPr>
                <w:rFonts w:eastAsia="Times New Roman" w:cstheme="minorHAnsi"/>
                <w:color w:val="1F1F1F"/>
              </w:rPr>
              <w:t>Changes in motivation to work on research</w:t>
            </w:r>
          </w:p>
        </w:tc>
        <w:tc>
          <w:tcPr>
            <w:tcW w:w="2566" w:type="dxa"/>
            <w:vAlign w:val="center"/>
          </w:tcPr>
          <w:p w14:paraId="66CDB29A" w14:textId="77777777" w:rsidR="00321ABB" w:rsidRDefault="00321ABB" w:rsidP="00054045">
            <w:pPr>
              <w:rPr>
                <w:rFonts w:eastAsia="Times New Roman" w:cstheme="minorHAnsi"/>
                <w:color w:val="1F1F1F"/>
              </w:rPr>
            </w:pPr>
            <w:r w:rsidRPr="002F5ACA">
              <w:rPr>
                <w:rFonts w:eastAsia="Times New Roman" w:cstheme="minorHAnsi"/>
                <w:color w:val="1F1F1F"/>
              </w:rPr>
              <w:t>Set clear expectations for learners and provide regular feedback.</w:t>
            </w:r>
          </w:p>
          <w:p w14:paraId="510170A1" w14:textId="77777777" w:rsidR="00EF7255" w:rsidRDefault="00EF7255" w:rsidP="00054045">
            <w:pPr>
              <w:rPr>
                <w:rFonts w:eastAsia="Times New Roman" w:cstheme="minorHAnsi"/>
                <w:color w:val="1F1F1F"/>
              </w:rPr>
            </w:pPr>
          </w:p>
          <w:p w14:paraId="2FAB9C39" w14:textId="1A9B47F0" w:rsidR="00EF7255" w:rsidRPr="002F5ACA" w:rsidRDefault="00EF7255" w:rsidP="00054045">
            <w:pPr>
              <w:rPr>
                <w:rFonts w:eastAsia="Times New Roman" w:cstheme="minorHAnsi"/>
                <w:color w:val="1F1F1F"/>
              </w:rPr>
            </w:pPr>
            <w:r>
              <w:rPr>
                <w:rFonts w:eastAsia="Times New Roman" w:cstheme="minorHAnsi"/>
                <w:color w:val="1F1F1F"/>
              </w:rPr>
              <w:t>Select project that aligns with learner interest or identify another mentor for learner to work with.</w:t>
            </w:r>
          </w:p>
          <w:p w14:paraId="7C49B05C" w14:textId="77777777" w:rsidR="00321ABB" w:rsidRPr="002F5ACA" w:rsidRDefault="00321ABB" w:rsidP="00054045">
            <w:pPr>
              <w:rPr>
                <w:rFonts w:eastAsia="Times New Roman" w:cstheme="minorHAnsi"/>
                <w:color w:val="1F1F1F"/>
              </w:rPr>
            </w:pPr>
          </w:p>
          <w:p w14:paraId="31FFA146" w14:textId="77777777" w:rsidR="00321ABB" w:rsidRPr="002F5ACA" w:rsidRDefault="00321ABB" w:rsidP="00054045">
            <w:pPr>
              <w:rPr>
                <w:rFonts w:cstheme="minorHAnsi"/>
              </w:rPr>
            </w:pPr>
            <w:r w:rsidRPr="002F5ACA">
              <w:rPr>
                <w:rFonts w:cstheme="minorHAnsi"/>
              </w:rPr>
              <w:t>Create and sign research contract that outlines expectations from both the learner and mentor.</w:t>
            </w:r>
          </w:p>
        </w:tc>
        <w:tc>
          <w:tcPr>
            <w:tcW w:w="2032" w:type="dxa"/>
            <w:vAlign w:val="center"/>
          </w:tcPr>
          <w:p w14:paraId="36DACAFA" w14:textId="131A3729" w:rsidR="00321ABB" w:rsidRPr="002F5ACA" w:rsidRDefault="00640DCE" w:rsidP="00054045">
            <w:pPr>
              <w:rPr>
                <w:rFonts w:eastAsia="Times New Roman" w:cstheme="minorHAnsi"/>
                <w:color w:val="1F1F1F"/>
              </w:rPr>
            </w:pPr>
            <w:r>
              <w:rPr>
                <w:rFonts w:eastAsia="Times New Roman" w:cstheme="minorHAnsi"/>
                <w:color w:val="1F1F1F"/>
              </w:rPr>
              <w:t>Increase likelihood of sustained motivation</w:t>
            </w:r>
            <w:r w:rsidR="00321ABB" w:rsidRPr="002F5ACA">
              <w:rPr>
                <w:rFonts w:eastAsia="Times New Roman" w:cstheme="minorHAnsi"/>
                <w:color w:val="1F1F1F"/>
              </w:rPr>
              <w:t xml:space="preserve"> and engage</w:t>
            </w:r>
            <w:r>
              <w:rPr>
                <w:rFonts w:eastAsia="Times New Roman" w:cstheme="minorHAnsi"/>
                <w:color w:val="1F1F1F"/>
              </w:rPr>
              <w:t>ment</w:t>
            </w:r>
            <w:r w:rsidR="00321ABB" w:rsidRPr="002F5ACA">
              <w:rPr>
                <w:rFonts w:eastAsia="Times New Roman" w:cstheme="minorHAnsi"/>
                <w:color w:val="1F1F1F"/>
              </w:rPr>
              <w:t xml:space="preserve"> in their research projects.</w:t>
            </w:r>
          </w:p>
          <w:p w14:paraId="02A9BCC7" w14:textId="77777777" w:rsidR="00321ABB" w:rsidRPr="002F5ACA" w:rsidRDefault="00321ABB" w:rsidP="00054045">
            <w:pPr>
              <w:rPr>
                <w:rFonts w:cstheme="minorHAnsi"/>
              </w:rPr>
            </w:pPr>
          </w:p>
          <w:p w14:paraId="44BBDD9B" w14:textId="3442EF55" w:rsidR="00321ABB" w:rsidRPr="002F5ACA" w:rsidRDefault="00640DCE" w:rsidP="00054045">
            <w:r>
              <w:t>Have</w:t>
            </w:r>
            <w:r w:rsidR="00E93686" w:rsidRPr="002F5ACA">
              <w:t xml:space="preserve"> clear</w:t>
            </w:r>
            <w:r w:rsidR="00B9691A" w:rsidRPr="002F5ACA">
              <w:t xml:space="preserve"> expectations but also the option for compassionate exit from the project. </w:t>
            </w:r>
          </w:p>
        </w:tc>
        <w:tc>
          <w:tcPr>
            <w:tcW w:w="2197" w:type="dxa"/>
            <w:vAlign w:val="center"/>
          </w:tcPr>
          <w:p w14:paraId="76316FCE" w14:textId="6C2FA7B9" w:rsidR="00321ABB" w:rsidRPr="002F5ACA" w:rsidRDefault="00640DCE" w:rsidP="7BBD1B22">
            <w:r>
              <w:rPr>
                <w:rFonts w:eastAsia="Times New Roman"/>
                <w:color w:val="1F1F1F"/>
              </w:rPr>
              <w:t>Create</w:t>
            </w:r>
            <w:r w:rsidR="6E951B18" w:rsidRPr="002F5ACA">
              <w:rPr>
                <w:rFonts w:eastAsia="Times New Roman"/>
                <w:color w:val="1F1F1F"/>
              </w:rPr>
              <w:t xml:space="preserve"> more productive research team </w:t>
            </w:r>
            <w:r w:rsidR="00321ABB" w:rsidRPr="002F5ACA">
              <w:rPr>
                <w:rFonts w:eastAsia="Times New Roman"/>
                <w:color w:val="1F1F1F"/>
              </w:rPr>
              <w:t>and understand what the learner hopes to gain from the experience.</w:t>
            </w:r>
          </w:p>
        </w:tc>
      </w:tr>
      <w:tr w:rsidR="00321ABB" w:rsidRPr="002F5ACA" w14:paraId="1235CCB0" w14:textId="77777777" w:rsidTr="7BBD1B22">
        <w:tc>
          <w:tcPr>
            <w:tcW w:w="2555" w:type="dxa"/>
            <w:vAlign w:val="center"/>
          </w:tcPr>
          <w:p w14:paraId="17A534EF" w14:textId="58783F7B" w:rsidR="00321ABB" w:rsidRPr="002F5ACA" w:rsidRDefault="00321ABB" w:rsidP="00054045">
            <w:pPr>
              <w:rPr>
                <w:rFonts w:cstheme="minorHAnsi"/>
              </w:rPr>
            </w:pPr>
            <w:r w:rsidRPr="002F5ACA">
              <w:rPr>
                <w:rFonts w:eastAsia="Times New Roman" w:cstheme="minorHAnsi"/>
                <w:color w:val="1F1F1F"/>
              </w:rPr>
              <w:t>Poor time management skills</w:t>
            </w:r>
            <w:r w:rsidR="00395DD6" w:rsidRPr="002F5ACA">
              <w:rPr>
                <w:rFonts w:eastAsia="Times New Roman" w:cstheme="minorHAnsi"/>
                <w:color w:val="1F1F1F"/>
              </w:rPr>
              <w:t xml:space="preserve"> when balancing multiple responsibilities</w:t>
            </w:r>
          </w:p>
        </w:tc>
        <w:tc>
          <w:tcPr>
            <w:tcW w:w="2566" w:type="dxa"/>
            <w:vAlign w:val="center"/>
          </w:tcPr>
          <w:p w14:paraId="37EC7C02" w14:textId="77777777" w:rsidR="00321ABB" w:rsidRPr="002F5ACA" w:rsidRDefault="00321ABB" w:rsidP="00054045">
            <w:pPr>
              <w:rPr>
                <w:rFonts w:eastAsia="Times New Roman" w:cstheme="minorHAnsi"/>
                <w:color w:val="1F1F1F"/>
              </w:rPr>
            </w:pPr>
            <w:r w:rsidRPr="002F5ACA">
              <w:rPr>
                <w:rFonts w:eastAsia="Times New Roman" w:cstheme="minorHAnsi"/>
                <w:color w:val="1F1F1F"/>
              </w:rPr>
              <w:t>Help learners develop time management skills and determine deadlines and milestones with them.</w:t>
            </w:r>
          </w:p>
          <w:p w14:paraId="065E21A3" w14:textId="77777777" w:rsidR="00321ABB" w:rsidRPr="002F5ACA" w:rsidRDefault="00321ABB" w:rsidP="00054045">
            <w:pPr>
              <w:rPr>
                <w:rFonts w:eastAsia="Times New Roman" w:cstheme="minorHAnsi"/>
                <w:color w:val="1F1F1F"/>
              </w:rPr>
            </w:pPr>
          </w:p>
          <w:p w14:paraId="1647EB0B" w14:textId="22649B40" w:rsidR="00321ABB" w:rsidRPr="002F5ACA" w:rsidRDefault="00321ABB" w:rsidP="7EB4FAB9">
            <w:pPr>
              <w:rPr>
                <w:rFonts w:eastAsia="Times New Roman"/>
                <w:color w:val="1F1F1F"/>
              </w:rPr>
            </w:pPr>
            <w:r w:rsidRPr="002F5ACA">
              <w:rPr>
                <w:rFonts w:eastAsia="Times New Roman"/>
                <w:color w:val="1F1F1F"/>
              </w:rPr>
              <w:t>Provide learners</w:t>
            </w:r>
            <w:r w:rsidR="00640DCE">
              <w:rPr>
                <w:rFonts w:eastAsia="Times New Roman"/>
                <w:color w:val="1F1F1F"/>
              </w:rPr>
              <w:t xml:space="preserve"> with</w:t>
            </w:r>
            <w:r w:rsidRPr="002F5ACA">
              <w:rPr>
                <w:rFonts w:eastAsia="Times New Roman"/>
                <w:color w:val="1F1F1F"/>
              </w:rPr>
              <w:t xml:space="preserve"> a general sense of how long a certain task or part of the project might take </w:t>
            </w:r>
            <w:r w:rsidR="00395DD6" w:rsidRPr="002F5ACA">
              <w:rPr>
                <w:rFonts w:eastAsia="Times New Roman"/>
                <w:color w:val="1F1F1F"/>
              </w:rPr>
              <w:t>to develop a formalized research</w:t>
            </w:r>
            <w:r w:rsidRPr="002F5ACA">
              <w:rPr>
                <w:rFonts w:eastAsia="Times New Roman"/>
                <w:color w:val="1F1F1F"/>
              </w:rPr>
              <w:t xml:space="preserve"> plan accordingly.</w:t>
            </w:r>
          </w:p>
          <w:p w14:paraId="59666563" w14:textId="035D49F3" w:rsidR="00321ABB" w:rsidRPr="002F5ACA" w:rsidRDefault="00321ABB" w:rsidP="7EB4FAB9">
            <w:pPr>
              <w:rPr>
                <w:rFonts w:eastAsia="Times New Roman"/>
                <w:color w:val="1F1F1F"/>
              </w:rPr>
            </w:pPr>
          </w:p>
          <w:p w14:paraId="643D1393" w14:textId="32C2D8ED" w:rsidR="00321ABB" w:rsidRPr="002F5ACA" w:rsidRDefault="6AFBAFA2" w:rsidP="7EB4FAB9">
            <w:pPr>
              <w:rPr>
                <w:rFonts w:eastAsia="Times New Roman"/>
                <w:color w:val="1F1F1F"/>
              </w:rPr>
            </w:pPr>
            <w:r w:rsidRPr="002F5ACA">
              <w:rPr>
                <w:rFonts w:eastAsia="Times New Roman"/>
                <w:color w:val="1F1F1F"/>
              </w:rPr>
              <w:t xml:space="preserve">If data collection is taking significantly longer than expected, observe the learner’s strategy and </w:t>
            </w:r>
            <w:r w:rsidR="00DD5424" w:rsidRPr="002F5ACA">
              <w:rPr>
                <w:rFonts w:eastAsia="Times New Roman"/>
                <w:color w:val="1F1F1F"/>
              </w:rPr>
              <w:lastRenderedPageBreak/>
              <w:t>model</w:t>
            </w:r>
            <w:r w:rsidRPr="002F5ACA">
              <w:rPr>
                <w:rFonts w:eastAsia="Times New Roman"/>
                <w:color w:val="1F1F1F"/>
              </w:rPr>
              <w:t xml:space="preserve"> tips for identifying information in the </w:t>
            </w:r>
            <w:r w:rsidR="00640DCE">
              <w:rPr>
                <w:rFonts w:eastAsia="Times New Roman"/>
                <w:color w:val="1F1F1F"/>
              </w:rPr>
              <w:t>electronic medical record</w:t>
            </w:r>
            <w:r w:rsidRPr="002F5ACA">
              <w:rPr>
                <w:rFonts w:eastAsia="Times New Roman"/>
                <w:color w:val="1F1F1F"/>
              </w:rPr>
              <w:t>.</w:t>
            </w:r>
          </w:p>
        </w:tc>
        <w:tc>
          <w:tcPr>
            <w:tcW w:w="2032" w:type="dxa"/>
            <w:vAlign w:val="center"/>
          </w:tcPr>
          <w:p w14:paraId="1624D26F" w14:textId="466103EA" w:rsidR="00321ABB" w:rsidRPr="002F5ACA" w:rsidRDefault="00640DCE" w:rsidP="00054045">
            <w:pPr>
              <w:rPr>
                <w:rFonts w:cstheme="minorHAnsi"/>
              </w:rPr>
            </w:pPr>
            <w:r>
              <w:rPr>
                <w:rFonts w:eastAsia="Times New Roman" w:cstheme="minorHAnsi"/>
                <w:color w:val="1F1F1F"/>
              </w:rPr>
              <w:lastRenderedPageBreak/>
              <w:t>Increased probability of</w:t>
            </w:r>
            <w:r w:rsidR="00321ABB" w:rsidRPr="002F5ACA">
              <w:rPr>
                <w:rFonts w:eastAsia="Times New Roman" w:cstheme="minorHAnsi"/>
                <w:color w:val="1F1F1F"/>
              </w:rPr>
              <w:t xml:space="preserve"> </w:t>
            </w:r>
            <w:r>
              <w:rPr>
                <w:rFonts w:eastAsia="Times New Roman" w:cstheme="minorHAnsi"/>
                <w:color w:val="1F1F1F"/>
              </w:rPr>
              <w:t>staying</w:t>
            </w:r>
            <w:r w:rsidR="00321ABB" w:rsidRPr="002F5ACA">
              <w:rPr>
                <w:rFonts w:eastAsia="Times New Roman" w:cstheme="minorHAnsi"/>
                <w:color w:val="1F1F1F"/>
              </w:rPr>
              <w:t xml:space="preserve"> on track with research projects</w:t>
            </w:r>
            <w:r w:rsidR="00395DD6" w:rsidRPr="002F5ACA">
              <w:rPr>
                <w:rFonts w:eastAsia="Times New Roman" w:cstheme="minorHAnsi"/>
                <w:color w:val="1F1F1F"/>
              </w:rPr>
              <w:t>, meet</w:t>
            </w:r>
            <w:r>
              <w:rPr>
                <w:rFonts w:eastAsia="Times New Roman" w:cstheme="minorHAnsi"/>
                <w:color w:val="1F1F1F"/>
              </w:rPr>
              <w:t>ing</w:t>
            </w:r>
            <w:r w:rsidR="00395DD6" w:rsidRPr="002F5ACA">
              <w:rPr>
                <w:rFonts w:eastAsia="Times New Roman" w:cstheme="minorHAnsi"/>
                <w:color w:val="1F1F1F"/>
              </w:rPr>
              <w:t xml:space="preserve"> deadlines, and balanc</w:t>
            </w:r>
            <w:r>
              <w:rPr>
                <w:rFonts w:eastAsia="Times New Roman" w:cstheme="minorHAnsi"/>
                <w:color w:val="1F1F1F"/>
              </w:rPr>
              <w:t>ing</w:t>
            </w:r>
            <w:r w:rsidR="00395DD6" w:rsidRPr="002F5ACA">
              <w:rPr>
                <w:rFonts w:eastAsia="Times New Roman" w:cstheme="minorHAnsi"/>
                <w:color w:val="1F1F1F"/>
              </w:rPr>
              <w:t xml:space="preserve"> other commitments</w:t>
            </w:r>
            <w:r w:rsidR="00321ABB" w:rsidRPr="002F5ACA">
              <w:rPr>
                <w:rFonts w:eastAsia="Times New Roman" w:cstheme="minorHAnsi"/>
                <w:color w:val="1F1F1F"/>
              </w:rPr>
              <w:t>.</w:t>
            </w:r>
          </w:p>
        </w:tc>
        <w:tc>
          <w:tcPr>
            <w:tcW w:w="2197" w:type="dxa"/>
            <w:vAlign w:val="center"/>
          </w:tcPr>
          <w:p w14:paraId="1DA9B29C" w14:textId="65B1F275" w:rsidR="00321ABB" w:rsidRPr="002F5ACA" w:rsidRDefault="00640DCE" w:rsidP="00054045">
            <w:pPr>
              <w:rPr>
                <w:rFonts w:cstheme="minorHAnsi"/>
              </w:rPr>
            </w:pPr>
            <w:r>
              <w:rPr>
                <w:rFonts w:eastAsia="Times New Roman" w:cstheme="minorHAnsi"/>
                <w:color w:val="1F1F1F"/>
              </w:rPr>
              <w:t>Development of</w:t>
            </w:r>
            <w:r w:rsidR="00321ABB" w:rsidRPr="002F5ACA">
              <w:rPr>
                <w:rFonts w:eastAsia="Times New Roman" w:cstheme="minorHAnsi"/>
                <w:color w:val="1F1F1F"/>
              </w:rPr>
              <w:t xml:space="preserve"> a more efficient</w:t>
            </w:r>
            <w:r w:rsidR="00395DD6" w:rsidRPr="002F5ACA">
              <w:rPr>
                <w:rFonts w:eastAsia="Times New Roman" w:cstheme="minorHAnsi"/>
                <w:color w:val="1F1F1F"/>
              </w:rPr>
              <w:t>, reliable</w:t>
            </w:r>
            <w:r w:rsidR="00321ABB" w:rsidRPr="002F5ACA">
              <w:rPr>
                <w:rFonts w:eastAsia="Times New Roman" w:cstheme="minorHAnsi"/>
                <w:color w:val="1F1F1F"/>
              </w:rPr>
              <w:t xml:space="preserve"> research team and stay on track themselves.</w:t>
            </w:r>
          </w:p>
        </w:tc>
      </w:tr>
      <w:tr w:rsidR="00321ABB" w:rsidRPr="002F5ACA" w14:paraId="688CC530" w14:textId="77777777" w:rsidTr="7BBD1B22">
        <w:tc>
          <w:tcPr>
            <w:tcW w:w="2555" w:type="dxa"/>
            <w:vAlign w:val="center"/>
          </w:tcPr>
          <w:p w14:paraId="5195EBB4" w14:textId="77777777" w:rsidR="00321ABB" w:rsidRPr="002F5ACA" w:rsidRDefault="00321ABB" w:rsidP="00054045">
            <w:pPr>
              <w:rPr>
                <w:rFonts w:cstheme="minorHAnsi"/>
              </w:rPr>
            </w:pPr>
            <w:r w:rsidRPr="002F5ACA">
              <w:rPr>
                <w:rFonts w:eastAsia="Times New Roman" w:cstheme="minorHAnsi"/>
                <w:color w:val="1F1F1F"/>
              </w:rPr>
              <w:t>Project holdups in the IRB approval phase or in execution of statistical analysis</w:t>
            </w:r>
          </w:p>
        </w:tc>
        <w:tc>
          <w:tcPr>
            <w:tcW w:w="2566" w:type="dxa"/>
            <w:vAlign w:val="center"/>
          </w:tcPr>
          <w:p w14:paraId="7F802C15" w14:textId="77777777" w:rsidR="00321ABB" w:rsidRPr="002F5ACA" w:rsidRDefault="00321ABB" w:rsidP="00054045">
            <w:pPr>
              <w:rPr>
                <w:rFonts w:eastAsia="Times New Roman" w:cstheme="minorHAnsi"/>
                <w:color w:val="1F1F1F"/>
              </w:rPr>
            </w:pPr>
            <w:r w:rsidRPr="002F5ACA">
              <w:rPr>
                <w:rFonts w:eastAsia="Times New Roman" w:cstheme="minorHAnsi"/>
                <w:color w:val="1F1F1F"/>
              </w:rPr>
              <w:t>Develop contingency plans for delays in the IRB approval process or in the execution of statistical analysis.</w:t>
            </w:r>
          </w:p>
          <w:p w14:paraId="73281DB5" w14:textId="77777777" w:rsidR="00321ABB" w:rsidRPr="002F5ACA" w:rsidRDefault="00321ABB" w:rsidP="00054045">
            <w:pPr>
              <w:rPr>
                <w:rFonts w:cstheme="minorHAnsi"/>
              </w:rPr>
            </w:pPr>
          </w:p>
          <w:p w14:paraId="7AB211C2" w14:textId="7E9BC0E8" w:rsidR="00321ABB" w:rsidRPr="002F5ACA" w:rsidRDefault="6E951B18" w:rsidP="7EB4FAB9">
            <w:r w:rsidRPr="002F5ACA">
              <w:t>Consider “flipped” research models.</w:t>
            </w:r>
            <w:r w:rsidR="0F5F3809" w:rsidRPr="002F5ACA">
              <w:t xml:space="preserve"> For short experiences such as a single APPE rotation, consider a project w</w:t>
            </w:r>
            <w:r w:rsidR="123CD535" w:rsidRPr="002F5ACA">
              <w:t>h</w:t>
            </w:r>
            <w:r w:rsidR="0F5F3809" w:rsidRPr="002F5ACA">
              <w:t xml:space="preserve">ere all necessary approvals are complete and patient lists or initial data </w:t>
            </w:r>
            <w:r w:rsidR="6C3ABEA7" w:rsidRPr="002F5ACA">
              <w:t>are</w:t>
            </w:r>
            <w:r w:rsidR="0F5F3809" w:rsidRPr="002F5ACA">
              <w:t xml:space="preserve"> already available.</w:t>
            </w:r>
          </w:p>
          <w:p w14:paraId="66813B10" w14:textId="77777777" w:rsidR="00395DD6" w:rsidRPr="002F5ACA" w:rsidRDefault="00395DD6" w:rsidP="00054045">
            <w:pPr>
              <w:rPr>
                <w:rFonts w:cstheme="minorHAnsi"/>
              </w:rPr>
            </w:pPr>
          </w:p>
          <w:p w14:paraId="6508A129" w14:textId="55F00BB7" w:rsidR="00395DD6" w:rsidRPr="002F5ACA" w:rsidRDefault="00395DD6" w:rsidP="00054045">
            <w:pPr>
              <w:rPr>
                <w:rFonts w:cstheme="minorHAnsi"/>
              </w:rPr>
            </w:pPr>
            <w:r w:rsidRPr="002F5ACA">
              <w:rPr>
                <w:rFonts w:cstheme="minorHAnsi"/>
              </w:rPr>
              <w:t>Incorporate statistician early in research planning.</w:t>
            </w:r>
          </w:p>
        </w:tc>
        <w:tc>
          <w:tcPr>
            <w:tcW w:w="2032" w:type="dxa"/>
            <w:vAlign w:val="center"/>
          </w:tcPr>
          <w:p w14:paraId="171B9E34" w14:textId="147E7FBB" w:rsidR="00321ABB" w:rsidRPr="002F5ACA" w:rsidRDefault="00640DCE" w:rsidP="00054045">
            <w:pPr>
              <w:rPr>
                <w:rFonts w:cstheme="minorHAnsi"/>
              </w:rPr>
            </w:pPr>
            <w:r>
              <w:rPr>
                <w:rFonts w:eastAsia="Times New Roman" w:cstheme="minorHAnsi"/>
                <w:color w:val="1F1F1F"/>
              </w:rPr>
              <w:t>Reduce frustration from</w:t>
            </w:r>
            <w:r w:rsidR="00321ABB" w:rsidRPr="002F5ACA">
              <w:rPr>
                <w:rFonts w:eastAsia="Times New Roman" w:cstheme="minorHAnsi"/>
                <w:color w:val="1F1F1F"/>
              </w:rPr>
              <w:t xml:space="preserve"> delays in their research projects.</w:t>
            </w:r>
          </w:p>
        </w:tc>
        <w:tc>
          <w:tcPr>
            <w:tcW w:w="2197" w:type="dxa"/>
            <w:vAlign w:val="center"/>
          </w:tcPr>
          <w:p w14:paraId="1990F17B" w14:textId="797A562D" w:rsidR="00321ABB" w:rsidRPr="002F5ACA" w:rsidRDefault="00640DCE" w:rsidP="00054045">
            <w:r>
              <w:rPr>
                <w:rFonts w:eastAsia="Times New Roman"/>
                <w:color w:val="1F1F1F"/>
              </w:rPr>
              <w:t xml:space="preserve">Increase probability of </w:t>
            </w:r>
            <w:r w:rsidR="00F85A33">
              <w:rPr>
                <w:rFonts w:eastAsia="Times New Roman"/>
                <w:color w:val="1F1F1F"/>
              </w:rPr>
              <w:t>forward progress of projects</w:t>
            </w:r>
            <w:r w:rsidR="00395DD6" w:rsidRPr="002F5ACA">
              <w:rPr>
                <w:rFonts w:eastAsia="Times New Roman"/>
                <w:color w:val="1F1F1F"/>
              </w:rPr>
              <w:t xml:space="preserve">. </w:t>
            </w:r>
          </w:p>
        </w:tc>
      </w:tr>
      <w:tr w:rsidR="00321ABB" w:rsidRPr="002F5ACA" w14:paraId="3EAD82D3" w14:textId="77777777" w:rsidTr="7BBD1B22">
        <w:tc>
          <w:tcPr>
            <w:tcW w:w="2555" w:type="dxa"/>
            <w:vAlign w:val="center"/>
          </w:tcPr>
          <w:p w14:paraId="7B75A38B" w14:textId="77777777" w:rsidR="00321ABB" w:rsidRPr="002F5ACA" w:rsidRDefault="00321ABB" w:rsidP="00054045">
            <w:pPr>
              <w:rPr>
                <w:rFonts w:cstheme="minorHAnsi"/>
              </w:rPr>
            </w:pPr>
            <w:r w:rsidRPr="002F5ACA">
              <w:rPr>
                <w:rFonts w:eastAsia="Times New Roman" w:cstheme="minorHAnsi"/>
                <w:color w:val="1F1F1F"/>
              </w:rPr>
              <w:t>Lack of research experience</w:t>
            </w:r>
          </w:p>
        </w:tc>
        <w:tc>
          <w:tcPr>
            <w:tcW w:w="2566" w:type="dxa"/>
            <w:vAlign w:val="center"/>
          </w:tcPr>
          <w:p w14:paraId="6B0FF4EB" w14:textId="77777777" w:rsidR="00321ABB" w:rsidRPr="002F5ACA" w:rsidRDefault="00321ABB" w:rsidP="00054045">
            <w:pPr>
              <w:rPr>
                <w:rFonts w:eastAsia="Times New Roman" w:cstheme="minorHAnsi"/>
                <w:color w:val="1F1F1F"/>
              </w:rPr>
            </w:pPr>
            <w:r w:rsidRPr="002F5ACA">
              <w:rPr>
                <w:rFonts w:eastAsia="Times New Roman" w:cstheme="minorHAnsi"/>
                <w:color w:val="1F1F1F"/>
              </w:rPr>
              <w:t>Pair learners with experienced researchers who can provide guidance and support.</w:t>
            </w:r>
          </w:p>
          <w:p w14:paraId="5E33CB16" w14:textId="77777777" w:rsidR="00321ABB" w:rsidRPr="002F5ACA" w:rsidRDefault="00321ABB" w:rsidP="00054045">
            <w:pPr>
              <w:rPr>
                <w:rFonts w:cstheme="minorHAnsi"/>
              </w:rPr>
            </w:pPr>
          </w:p>
          <w:p w14:paraId="0403049B" w14:textId="3E6F109A" w:rsidR="00321ABB" w:rsidRPr="002F5ACA" w:rsidRDefault="00321ABB" w:rsidP="00054045">
            <w:pPr>
              <w:rPr>
                <w:rFonts w:cstheme="minorHAnsi"/>
              </w:rPr>
            </w:pPr>
            <w:r w:rsidRPr="002F5ACA">
              <w:rPr>
                <w:rFonts w:cstheme="minorHAnsi"/>
              </w:rPr>
              <w:t xml:space="preserve">Provide a “layered” </w:t>
            </w:r>
            <w:r w:rsidR="00395DD6" w:rsidRPr="002F5ACA">
              <w:rPr>
                <w:rFonts w:cstheme="minorHAnsi"/>
              </w:rPr>
              <w:t xml:space="preserve">or near-peer </w:t>
            </w:r>
            <w:r w:rsidRPr="002F5ACA">
              <w:rPr>
                <w:rFonts w:cstheme="minorHAnsi"/>
              </w:rPr>
              <w:t>research model where students and residents work together on research projects.</w:t>
            </w:r>
          </w:p>
        </w:tc>
        <w:tc>
          <w:tcPr>
            <w:tcW w:w="2032" w:type="dxa"/>
            <w:vAlign w:val="center"/>
          </w:tcPr>
          <w:p w14:paraId="02D45A38" w14:textId="2AFC0A6E" w:rsidR="00321ABB" w:rsidRPr="002F5ACA" w:rsidRDefault="00F85A33" w:rsidP="00054045">
            <w:pPr>
              <w:rPr>
                <w:rFonts w:eastAsia="Times New Roman" w:cstheme="minorHAnsi"/>
                <w:color w:val="1F1F1F"/>
              </w:rPr>
            </w:pPr>
            <w:r>
              <w:rPr>
                <w:rFonts w:eastAsia="Times New Roman" w:cstheme="minorHAnsi"/>
                <w:color w:val="1F1F1F"/>
              </w:rPr>
              <w:t>L</w:t>
            </w:r>
            <w:r w:rsidR="00321ABB" w:rsidRPr="002F5ACA">
              <w:rPr>
                <w:rFonts w:eastAsia="Times New Roman" w:cstheme="minorHAnsi"/>
                <w:color w:val="1F1F1F"/>
              </w:rPr>
              <w:t>earn the ropes of research and get their projects off the ground.</w:t>
            </w:r>
          </w:p>
          <w:p w14:paraId="2795DAC1" w14:textId="77777777" w:rsidR="00321ABB" w:rsidRPr="002F5ACA" w:rsidRDefault="00321ABB" w:rsidP="00054045">
            <w:pPr>
              <w:rPr>
                <w:rFonts w:eastAsia="Times New Roman" w:cstheme="minorHAnsi"/>
                <w:color w:val="1F1F1F"/>
              </w:rPr>
            </w:pPr>
          </w:p>
          <w:p w14:paraId="3AF5F1BC" w14:textId="4A1088D3" w:rsidR="00321ABB" w:rsidRPr="002F5ACA" w:rsidRDefault="00F85A33" w:rsidP="00054045">
            <w:pPr>
              <w:rPr>
                <w:rFonts w:cstheme="minorHAnsi"/>
              </w:rPr>
            </w:pPr>
            <w:r>
              <w:rPr>
                <w:rFonts w:cstheme="minorHAnsi"/>
              </w:rPr>
              <w:t>Higher level learners g</w:t>
            </w:r>
            <w:r w:rsidR="00321ABB" w:rsidRPr="002F5ACA">
              <w:rPr>
                <w:rFonts w:cstheme="minorHAnsi"/>
              </w:rPr>
              <w:t>ain research mentorship experience if working with students in a layered learning setting.</w:t>
            </w:r>
          </w:p>
        </w:tc>
        <w:tc>
          <w:tcPr>
            <w:tcW w:w="2197" w:type="dxa"/>
            <w:vAlign w:val="center"/>
          </w:tcPr>
          <w:p w14:paraId="08479F0E" w14:textId="04BC192D" w:rsidR="00321ABB" w:rsidRPr="002F5ACA" w:rsidRDefault="00F85A33" w:rsidP="00054045">
            <w:r>
              <w:rPr>
                <w:rFonts w:eastAsia="Times New Roman"/>
                <w:color w:val="1F1F1F"/>
              </w:rPr>
              <w:t xml:space="preserve">Create a strong </w:t>
            </w:r>
            <w:r w:rsidR="00395DD6" w:rsidRPr="002F5ACA">
              <w:rPr>
                <w:rFonts w:eastAsia="Times New Roman"/>
                <w:color w:val="1F1F1F"/>
              </w:rPr>
              <w:t xml:space="preserve">research team with members having a variety of experience. </w:t>
            </w:r>
          </w:p>
        </w:tc>
      </w:tr>
      <w:tr w:rsidR="00321ABB" w:rsidRPr="002F5ACA" w14:paraId="767FC1DA" w14:textId="77777777" w:rsidTr="7BBD1B22">
        <w:tc>
          <w:tcPr>
            <w:tcW w:w="2555" w:type="dxa"/>
            <w:vAlign w:val="center"/>
          </w:tcPr>
          <w:p w14:paraId="6973730C" w14:textId="77777777" w:rsidR="00321ABB" w:rsidRPr="002F5ACA" w:rsidRDefault="00321ABB" w:rsidP="7EB4FAB9">
            <w:pPr>
              <w:rPr>
                <w:rFonts w:eastAsia="Times New Roman"/>
                <w:color w:val="1F1F1F"/>
              </w:rPr>
            </w:pPr>
            <w:r w:rsidRPr="002F5ACA">
              <w:rPr>
                <w:rFonts w:eastAsia="Times New Roman"/>
                <w:color w:val="1F1F1F"/>
              </w:rPr>
              <w:t>System issues or lack of support</w:t>
            </w:r>
          </w:p>
        </w:tc>
        <w:tc>
          <w:tcPr>
            <w:tcW w:w="2566" w:type="dxa"/>
            <w:vAlign w:val="center"/>
          </w:tcPr>
          <w:p w14:paraId="0D118F4B" w14:textId="36E410FA" w:rsidR="00321ABB" w:rsidRPr="002F5ACA" w:rsidRDefault="00321ABB" w:rsidP="00054045">
            <w:pPr>
              <w:rPr>
                <w:rFonts w:eastAsia="Times New Roman" w:cstheme="minorHAnsi"/>
                <w:color w:val="1F1F1F"/>
              </w:rPr>
            </w:pPr>
            <w:r w:rsidRPr="002F5ACA">
              <w:rPr>
                <w:rFonts w:eastAsia="Times New Roman" w:cstheme="minorHAnsi"/>
                <w:color w:val="1F1F1F"/>
              </w:rPr>
              <w:t>Develop contingency plans such as certain types of projects supported by the institution (</w:t>
            </w:r>
            <w:r w:rsidR="00821C81" w:rsidRPr="002F5ACA">
              <w:rPr>
                <w:rFonts w:eastAsia="Times New Roman" w:cstheme="minorHAnsi"/>
                <w:color w:val="1F1F1F"/>
              </w:rPr>
              <w:t>e.g.,</w:t>
            </w:r>
            <w:r w:rsidRPr="002F5ACA">
              <w:rPr>
                <w:rFonts w:eastAsia="Times New Roman" w:cstheme="minorHAnsi"/>
                <w:color w:val="1F1F1F"/>
              </w:rPr>
              <w:t xml:space="preserve"> quality improvements) or other types of research endeavors (</w:t>
            </w:r>
            <w:r w:rsidR="00821C81" w:rsidRPr="002F5ACA">
              <w:rPr>
                <w:rFonts w:eastAsia="Times New Roman" w:cstheme="minorHAnsi"/>
                <w:color w:val="1F1F1F"/>
              </w:rPr>
              <w:t>e.g.,</w:t>
            </w:r>
            <w:r w:rsidRPr="002F5ACA">
              <w:rPr>
                <w:rFonts w:eastAsia="Times New Roman" w:cstheme="minorHAnsi"/>
                <w:color w:val="1F1F1F"/>
              </w:rPr>
              <w:t xml:space="preserve"> systematic reviews, meta-analysis, etc.)</w:t>
            </w:r>
          </w:p>
        </w:tc>
        <w:tc>
          <w:tcPr>
            <w:tcW w:w="2032" w:type="dxa"/>
            <w:vAlign w:val="center"/>
          </w:tcPr>
          <w:p w14:paraId="3415AEC7" w14:textId="77777777" w:rsidR="00F85A33" w:rsidRDefault="00F85A33" w:rsidP="7BBD1B22">
            <w:pPr>
              <w:rPr>
                <w:rFonts w:eastAsia="Times New Roman"/>
                <w:color w:val="1F1F1F"/>
              </w:rPr>
            </w:pPr>
            <w:r>
              <w:rPr>
                <w:rFonts w:eastAsia="Times New Roman"/>
                <w:color w:val="1F1F1F"/>
              </w:rPr>
              <w:t>Reduce frustration from</w:t>
            </w:r>
            <w:r w:rsidR="6E951B18" w:rsidRPr="002F5ACA">
              <w:rPr>
                <w:rFonts w:eastAsia="Times New Roman"/>
                <w:color w:val="1F1F1F"/>
              </w:rPr>
              <w:t xml:space="preserve"> delays in their research projects</w:t>
            </w:r>
            <w:r>
              <w:rPr>
                <w:rFonts w:eastAsia="Times New Roman"/>
                <w:color w:val="1F1F1F"/>
              </w:rPr>
              <w:t>.</w:t>
            </w:r>
            <w:r w:rsidR="6E951B18" w:rsidRPr="002F5ACA">
              <w:rPr>
                <w:rFonts w:eastAsia="Times New Roman"/>
                <w:color w:val="1F1F1F"/>
              </w:rPr>
              <w:t xml:space="preserve"> </w:t>
            </w:r>
          </w:p>
          <w:p w14:paraId="07F4DFC2" w14:textId="77777777" w:rsidR="00F85A33" w:rsidRDefault="00F85A33" w:rsidP="7BBD1B22">
            <w:pPr>
              <w:rPr>
                <w:rFonts w:eastAsia="Times New Roman"/>
                <w:color w:val="1F1F1F"/>
              </w:rPr>
            </w:pPr>
          </w:p>
          <w:p w14:paraId="75B2F45A" w14:textId="6146F1CB" w:rsidR="00321ABB" w:rsidRPr="002F5ACA" w:rsidRDefault="00F85A33" w:rsidP="7BBD1B22">
            <w:pPr>
              <w:rPr>
                <w:rFonts w:eastAsia="Times New Roman"/>
                <w:color w:val="1F1F1F"/>
              </w:rPr>
            </w:pPr>
            <w:r>
              <w:rPr>
                <w:rFonts w:eastAsia="Times New Roman"/>
                <w:color w:val="1F1F1F"/>
              </w:rPr>
              <w:t xml:space="preserve">Have the flexibility to pivot to alternative </w:t>
            </w:r>
            <w:r w:rsidR="6E951B18" w:rsidRPr="002F5ACA">
              <w:rPr>
                <w:rFonts w:eastAsia="Times New Roman"/>
                <w:color w:val="1F1F1F"/>
              </w:rPr>
              <w:t>projects to complete.</w:t>
            </w:r>
          </w:p>
        </w:tc>
        <w:tc>
          <w:tcPr>
            <w:tcW w:w="2197" w:type="dxa"/>
            <w:vAlign w:val="center"/>
          </w:tcPr>
          <w:p w14:paraId="6D55252B" w14:textId="35FA4EF0" w:rsidR="00321ABB" w:rsidRPr="002F5ACA" w:rsidRDefault="00F85A33" w:rsidP="00054045">
            <w:pPr>
              <w:rPr>
                <w:rFonts w:eastAsia="Times New Roman"/>
                <w:color w:val="1F1F1F"/>
              </w:rPr>
            </w:pPr>
            <w:r>
              <w:rPr>
                <w:rFonts w:eastAsia="Times New Roman"/>
                <w:color w:val="1F1F1F"/>
              </w:rPr>
              <w:t>F</w:t>
            </w:r>
            <w:r w:rsidR="00395DD6" w:rsidRPr="002F5ACA">
              <w:rPr>
                <w:rFonts w:eastAsia="Times New Roman"/>
                <w:color w:val="1F1F1F"/>
              </w:rPr>
              <w:t xml:space="preserve">eel more energized or productive through alignment and </w:t>
            </w:r>
            <w:r w:rsidR="007E0B64" w:rsidRPr="002F5ACA">
              <w:rPr>
                <w:rFonts w:eastAsia="Times New Roman"/>
                <w:color w:val="1F1F1F"/>
              </w:rPr>
              <w:t xml:space="preserve">an </w:t>
            </w:r>
            <w:r w:rsidR="00395DD6" w:rsidRPr="002F5ACA">
              <w:rPr>
                <w:rFonts w:eastAsia="Times New Roman"/>
                <w:color w:val="1F1F1F"/>
              </w:rPr>
              <w:t>open-minded approach to personal goals as well as research goals at their institution.</w:t>
            </w:r>
            <w:r w:rsidR="00395DD6" w:rsidRPr="002F5ACA" w:rsidDel="00395DD6">
              <w:rPr>
                <w:rFonts w:eastAsia="Times New Roman"/>
                <w:color w:val="1F1F1F"/>
              </w:rPr>
              <w:t xml:space="preserve"> </w:t>
            </w:r>
          </w:p>
        </w:tc>
      </w:tr>
    </w:tbl>
    <w:p w14:paraId="615FD6FC" w14:textId="18E41709" w:rsidR="555E9EB6" w:rsidRPr="002F5ACA" w:rsidRDefault="555E9EB6" w:rsidP="555E9EB6"/>
    <w:p w14:paraId="7142A0DA" w14:textId="77777777" w:rsidR="00321ABB" w:rsidRDefault="00321ABB" w:rsidP="00321ABB">
      <w:pPr>
        <w:rPr>
          <w:rFonts w:eastAsia="Arial" w:cstheme="minorHAnsi"/>
        </w:rPr>
      </w:pPr>
    </w:p>
    <w:sectPr w:rsidR="00321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7D43"/>
    <w:multiLevelType w:val="hybridMultilevel"/>
    <w:tmpl w:val="7B76C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C05DB"/>
    <w:multiLevelType w:val="hybridMultilevel"/>
    <w:tmpl w:val="66CADCB6"/>
    <w:lvl w:ilvl="0" w:tplc="B91ABB32">
      <w:start w:val="1"/>
      <w:numFmt w:val="decimal"/>
      <w:lvlText w:val="%1."/>
      <w:lvlJc w:val="left"/>
      <w:pPr>
        <w:ind w:left="720" w:hanging="360"/>
      </w:pPr>
    </w:lvl>
    <w:lvl w:ilvl="1" w:tplc="DB9C750A">
      <w:start w:val="1"/>
      <w:numFmt w:val="lowerLetter"/>
      <w:lvlText w:val="%2."/>
      <w:lvlJc w:val="left"/>
      <w:pPr>
        <w:ind w:left="1440" w:hanging="360"/>
      </w:pPr>
    </w:lvl>
    <w:lvl w:ilvl="2" w:tplc="76228B74">
      <w:start w:val="1"/>
      <w:numFmt w:val="lowerRoman"/>
      <w:lvlText w:val="%3."/>
      <w:lvlJc w:val="right"/>
      <w:pPr>
        <w:ind w:left="2160" w:hanging="180"/>
      </w:pPr>
    </w:lvl>
    <w:lvl w:ilvl="3" w:tplc="8C227792">
      <w:start w:val="1"/>
      <w:numFmt w:val="decimal"/>
      <w:lvlText w:val="%4."/>
      <w:lvlJc w:val="left"/>
      <w:pPr>
        <w:ind w:left="2880" w:hanging="360"/>
      </w:pPr>
    </w:lvl>
    <w:lvl w:ilvl="4" w:tplc="8E72214E">
      <w:start w:val="1"/>
      <w:numFmt w:val="lowerLetter"/>
      <w:lvlText w:val="%5."/>
      <w:lvlJc w:val="left"/>
      <w:pPr>
        <w:ind w:left="3600" w:hanging="360"/>
      </w:pPr>
    </w:lvl>
    <w:lvl w:ilvl="5" w:tplc="F4502C0C">
      <w:start w:val="1"/>
      <w:numFmt w:val="lowerRoman"/>
      <w:lvlText w:val="%6."/>
      <w:lvlJc w:val="right"/>
      <w:pPr>
        <w:ind w:left="4320" w:hanging="180"/>
      </w:pPr>
    </w:lvl>
    <w:lvl w:ilvl="6" w:tplc="15BE7866">
      <w:start w:val="1"/>
      <w:numFmt w:val="decimal"/>
      <w:lvlText w:val="%7."/>
      <w:lvlJc w:val="left"/>
      <w:pPr>
        <w:ind w:left="5040" w:hanging="360"/>
      </w:pPr>
    </w:lvl>
    <w:lvl w:ilvl="7" w:tplc="4FFCF5CC">
      <w:start w:val="1"/>
      <w:numFmt w:val="lowerLetter"/>
      <w:lvlText w:val="%8."/>
      <w:lvlJc w:val="left"/>
      <w:pPr>
        <w:ind w:left="5760" w:hanging="360"/>
      </w:pPr>
    </w:lvl>
    <w:lvl w:ilvl="8" w:tplc="2F0AFEA8">
      <w:start w:val="1"/>
      <w:numFmt w:val="lowerRoman"/>
      <w:lvlText w:val="%9."/>
      <w:lvlJc w:val="right"/>
      <w:pPr>
        <w:ind w:left="6480" w:hanging="180"/>
      </w:pPr>
    </w:lvl>
  </w:abstractNum>
  <w:abstractNum w:abstractNumId="2" w15:restartNumberingAfterBreak="0">
    <w:nsid w:val="0BCD5D8A"/>
    <w:multiLevelType w:val="multilevel"/>
    <w:tmpl w:val="6860A61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0BA7144"/>
    <w:multiLevelType w:val="multilevel"/>
    <w:tmpl w:val="00ECB4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8582135"/>
    <w:multiLevelType w:val="hybridMultilevel"/>
    <w:tmpl w:val="27DA61AC"/>
    <w:lvl w:ilvl="0" w:tplc="78027D28">
      <w:start w:val="1"/>
      <w:numFmt w:val="decimal"/>
      <w:lvlText w:val="%1."/>
      <w:lvlJc w:val="left"/>
      <w:pPr>
        <w:ind w:left="720" w:hanging="360"/>
      </w:pPr>
    </w:lvl>
    <w:lvl w:ilvl="1" w:tplc="EFF676FA">
      <w:start w:val="1"/>
      <w:numFmt w:val="lowerLetter"/>
      <w:lvlText w:val="%2."/>
      <w:lvlJc w:val="left"/>
      <w:pPr>
        <w:ind w:left="1440" w:hanging="360"/>
      </w:pPr>
    </w:lvl>
    <w:lvl w:ilvl="2" w:tplc="D3AC15FC">
      <w:start w:val="1"/>
      <w:numFmt w:val="lowerRoman"/>
      <w:lvlText w:val="%3."/>
      <w:lvlJc w:val="right"/>
      <w:pPr>
        <w:ind w:left="2160" w:hanging="180"/>
      </w:pPr>
    </w:lvl>
    <w:lvl w:ilvl="3" w:tplc="B344EF08">
      <w:start w:val="1"/>
      <w:numFmt w:val="decimal"/>
      <w:lvlText w:val="%4."/>
      <w:lvlJc w:val="left"/>
      <w:pPr>
        <w:ind w:left="2880" w:hanging="360"/>
      </w:pPr>
    </w:lvl>
    <w:lvl w:ilvl="4" w:tplc="B6544E2A">
      <w:start w:val="1"/>
      <w:numFmt w:val="lowerLetter"/>
      <w:lvlText w:val="%5."/>
      <w:lvlJc w:val="left"/>
      <w:pPr>
        <w:ind w:left="3600" w:hanging="360"/>
      </w:pPr>
    </w:lvl>
    <w:lvl w:ilvl="5" w:tplc="0E38D686">
      <w:start w:val="1"/>
      <w:numFmt w:val="lowerRoman"/>
      <w:lvlText w:val="%6."/>
      <w:lvlJc w:val="right"/>
      <w:pPr>
        <w:ind w:left="4320" w:hanging="180"/>
      </w:pPr>
    </w:lvl>
    <w:lvl w:ilvl="6" w:tplc="643CB26C">
      <w:start w:val="1"/>
      <w:numFmt w:val="decimal"/>
      <w:lvlText w:val="%7."/>
      <w:lvlJc w:val="left"/>
      <w:pPr>
        <w:ind w:left="5040" w:hanging="360"/>
      </w:pPr>
    </w:lvl>
    <w:lvl w:ilvl="7" w:tplc="7194AF06">
      <w:start w:val="1"/>
      <w:numFmt w:val="lowerLetter"/>
      <w:lvlText w:val="%8."/>
      <w:lvlJc w:val="left"/>
      <w:pPr>
        <w:ind w:left="5760" w:hanging="360"/>
      </w:pPr>
    </w:lvl>
    <w:lvl w:ilvl="8" w:tplc="1E66A5F0">
      <w:start w:val="1"/>
      <w:numFmt w:val="lowerRoman"/>
      <w:lvlText w:val="%9."/>
      <w:lvlJc w:val="right"/>
      <w:pPr>
        <w:ind w:left="6480" w:hanging="180"/>
      </w:pPr>
    </w:lvl>
  </w:abstractNum>
  <w:abstractNum w:abstractNumId="5" w15:restartNumberingAfterBreak="0">
    <w:nsid w:val="21707B31"/>
    <w:multiLevelType w:val="hybridMultilevel"/>
    <w:tmpl w:val="CDE09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5E51B6"/>
    <w:multiLevelType w:val="hybridMultilevel"/>
    <w:tmpl w:val="0534D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151A0B"/>
    <w:multiLevelType w:val="hybridMultilevel"/>
    <w:tmpl w:val="B0C28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70A499"/>
    <w:multiLevelType w:val="hybridMultilevel"/>
    <w:tmpl w:val="208A9078"/>
    <w:lvl w:ilvl="0" w:tplc="BD027826">
      <w:start w:val="1"/>
      <w:numFmt w:val="decimal"/>
      <w:lvlText w:val="%1."/>
      <w:lvlJc w:val="left"/>
      <w:pPr>
        <w:ind w:left="720" w:hanging="360"/>
      </w:pPr>
      <w:rPr>
        <w:rFonts w:ascii="Calibri" w:hAnsi="Calibri" w:hint="default"/>
      </w:rPr>
    </w:lvl>
    <w:lvl w:ilvl="1" w:tplc="C4242B98">
      <w:start w:val="1"/>
      <w:numFmt w:val="lowerLetter"/>
      <w:lvlText w:val="%2."/>
      <w:lvlJc w:val="left"/>
      <w:pPr>
        <w:ind w:left="1440" w:hanging="360"/>
      </w:pPr>
    </w:lvl>
    <w:lvl w:ilvl="2" w:tplc="AAF40442">
      <w:start w:val="1"/>
      <w:numFmt w:val="lowerRoman"/>
      <w:lvlText w:val="%3."/>
      <w:lvlJc w:val="right"/>
      <w:pPr>
        <w:ind w:left="2160" w:hanging="180"/>
      </w:pPr>
    </w:lvl>
    <w:lvl w:ilvl="3" w:tplc="A4B65C60">
      <w:start w:val="1"/>
      <w:numFmt w:val="decimal"/>
      <w:lvlText w:val="%4."/>
      <w:lvlJc w:val="left"/>
      <w:pPr>
        <w:ind w:left="2880" w:hanging="360"/>
      </w:pPr>
    </w:lvl>
    <w:lvl w:ilvl="4" w:tplc="3A009EFC">
      <w:start w:val="1"/>
      <w:numFmt w:val="lowerLetter"/>
      <w:lvlText w:val="%5."/>
      <w:lvlJc w:val="left"/>
      <w:pPr>
        <w:ind w:left="3600" w:hanging="360"/>
      </w:pPr>
    </w:lvl>
    <w:lvl w:ilvl="5" w:tplc="95962668">
      <w:start w:val="1"/>
      <w:numFmt w:val="lowerRoman"/>
      <w:lvlText w:val="%6."/>
      <w:lvlJc w:val="right"/>
      <w:pPr>
        <w:ind w:left="4320" w:hanging="180"/>
      </w:pPr>
    </w:lvl>
    <w:lvl w:ilvl="6" w:tplc="C4B4D620">
      <w:start w:val="1"/>
      <w:numFmt w:val="decimal"/>
      <w:lvlText w:val="%7."/>
      <w:lvlJc w:val="left"/>
      <w:pPr>
        <w:ind w:left="5040" w:hanging="360"/>
      </w:pPr>
    </w:lvl>
    <w:lvl w:ilvl="7" w:tplc="44586E7A">
      <w:start w:val="1"/>
      <w:numFmt w:val="lowerLetter"/>
      <w:lvlText w:val="%8."/>
      <w:lvlJc w:val="left"/>
      <w:pPr>
        <w:ind w:left="5760" w:hanging="360"/>
      </w:pPr>
    </w:lvl>
    <w:lvl w:ilvl="8" w:tplc="A014C6B2">
      <w:start w:val="1"/>
      <w:numFmt w:val="lowerRoman"/>
      <w:lvlText w:val="%9."/>
      <w:lvlJc w:val="right"/>
      <w:pPr>
        <w:ind w:left="6480" w:hanging="180"/>
      </w:pPr>
    </w:lvl>
  </w:abstractNum>
  <w:abstractNum w:abstractNumId="9" w15:restartNumberingAfterBreak="0">
    <w:nsid w:val="2A610395"/>
    <w:multiLevelType w:val="hybridMultilevel"/>
    <w:tmpl w:val="3C9C78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0B620B"/>
    <w:multiLevelType w:val="multilevel"/>
    <w:tmpl w:val="F498356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2ED01353"/>
    <w:multiLevelType w:val="multilevel"/>
    <w:tmpl w:val="194C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0A6CFC"/>
    <w:multiLevelType w:val="multilevel"/>
    <w:tmpl w:val="C0A4C67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C2C2748"/>
    <w:multiLevelType w:val="multilevel"/>
    <w:tmpl w:val="68EE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9D0FBB"/>
    <w:multiLevelType w:val="hybridMultilevel"/>
    <w:tmpl w:val="6B203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A2587E"/>
    <w:multiLevelType w:val="hybridMultilevel"/>
    <w:tmpl w:val="5E74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A83F85"/>
    <w:multiLevelType w:val="multilevel"/>
    <w:tmpl w:val="4168B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2A45E6"/>
    <w:multiLevelType w:val="multilevel"/>
    <w:tmpl w:val="78920EB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4B4A2D63"/>
    <w:multiLevelType w:val="multilevel"/>
    <w:tmpl w:val="DCDEB1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F4C5066"/>
    <w:multiLevelType w:val="multilevel"/>
    <w:tmpl w:val="2FCA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7D43849"/>
    <w:multiLevelType w:val="multilevel"/>
    <w:tmpl w:val="0CEE88D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69856818"/>
    <w:multiLevelType w:val="hybridMultilevel"/>
    <w:tmpl w:val="3662C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DE64F26"/>
    <w:multiLevelType w:val="hybridMultilevel"/>
    <w:tmpl w:val="34D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943ECF"/>
    <w:multiLevelType w:val="multilevel"/>
    <w:tmpl w:val="8536FE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3EF67B2"/>
    <w:multiLevelType w:val="multilevel"/>
    <w:tmpl w:val="EF982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7C2F32"/>
    <w:multiLevelType w:val="hybridMultilevel"/>
    <w:tmpl w:val="9BD6F7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880E5A"/>
    <w:multiLevelType w:val="hybridMultilevel"/>
    <w:tmpl w:val="22FC9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1260898">
    <w:abstractNumId w:val="4"/>
  </w:num>
  <w:num w:numId="2" w16cid:durableId="119691133">
    <w:abstractNumId w:val="12"/>
  </w:num>
  <w:num w:numId="3" w16cid:durableId="489640640">
    <w:abstractNumId w:val="20"/>
  </w:num>
  <w:num w:numId="4" w16cid:durableId="1164972046">
    <w:abstractNumId w:val="13"/>
  </w:num>
  <w:num w:numId="5" w16cid:durableId="276522274">
    <w:abstractNumId w:val="3"/>
  </w:num>
  <w:num w:numId="6" w16cid:durableId="312299697">
    <w:abstractNumId w:val="24"/>
  </w:num>
  <w:num w:numId="7" w16cid:durableId="1755472246">
    <w:abstractNumId w:val="23"/>
  </w:num>
  <w:num w:numId="8" w16cid:durableId="1131173965">
    <w:abstractNumId w:val="11"/>
  </w:num>
  <w:num w:numId="9" w16cid:durableId="934939991">
    <w:abstractNumId w:val="18"/>
  </w:num>
  <w:num w:numId="10" w16cid:durableId="1008368844">
    <w:abstractNumId w:val="21"/>
  </w:num>
  <w:num w:numId="11" w16cid:durableId="815562370">
    <w:abstractNumId w:val="5"/>
  </w:num>
  <w:num w:numId="12" w16cid:durableId="621418995">
    <w:abstractNumId w:val="6"/>
  </w:num>
  <w:num w:numId="13" w16cid:durableId="32970332">
    <w:abstractNumId w:val="22"/>
  </w:num>
  <w:num w:numId="14" w16cid:durableId="408504002">
    <w:abstractNumId w:val="15"/>
  </w:num>
  <w:num w:numId="15" w16cid:durableId="1105921508">
    <w:abstractNumId w:val="7"/>
  </w:num>
  <w:num w:numId="16" w16cid:durableId="385764238">
    <w:abstractNumId w:val="14"/>
  </w:num>
  <w:num w:numId="17" w16cid:durableId="1731272527">
    <w:abstractNumId w:val="19"/>
  </w:num>
  <w:num w:numId="18" w16cid:durableId="1469208334">
    <w:abstractNumId w:val="17"/>
  </w:num>
  <w:num w:numId="19" w16cid:durableId="121507555">
    <w:abstractNumId w:val="2"/>
  </w:num>
  <w:num w:numId="20" w16cid:durableId="1398670623">
    <w:abstractNumId w:val="10"/>
  </w:num>
  <w:num w:numId="21" w16cid:durableId="474221775">
    <w:abstractNumId w:val="16"/>
  </w:num>
  <w:num w:numId="22" w16cid:durableId="1711614701">
    <w:abstractNumId w:val="0"/>
  </w:num>
  <w:num w:numId="23" w16cid:durableId="303387407">
    <w:abstractNumId w:val="9"/>
  </w:num>
  <w:num w:numId="24" w16cid:durableId="2027712977">
    <w:abstractNumId w:val="8"/>
  </w:num>
  <w:num w:numId="25" w16cid:durableId="1797142241">
    <w:abstractNumId w:val="1"/>
  </w:num>
  <w:num w:numId="26" w16cid:durableId="1649237553">
    <w:abstractNumId w:val="25"/>
  </w:num>
  <w:num w:numId="27" w16cid:durableId="17766317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AE4"/>
    <w:rsid w:val="00007137"/>
    <w:rsid w:val="000244AC"/>
    <w:rsid w:val="00031BBD"/>
    <w:rsid w:val="0005081A"/>
    <w:rsid w:val="00050A72"/>
    <w:rsid w:val="0005385F"/>
    <w:rsid w:val="00054045"/>
    <w:rsid w:val="000607ED"/>
    <w:rsid w:val="00071827"/>
    <w:rsid w:val="00091732"/>
    <w:rsid w:val="000918E6"/>
    <w:rsid w:val="000A69FB"/>
    <w:rsid w:val="000A7D03"/>
    <w:rsid w:val="000B010F"/>
    <w:rsid w:val="000B7B18"/>
    <w:rsid w:val="000C4C18"/>
    <w:rsid w:val="000D1F9F"/>
    <w:rsid w:val="000D32C9"/>
    <w:rsid w:val="000D4AB1"/>
    <w:rsid w:val="000D5F36"/>
    <w:rsid w:val="000D6C82"/>
    <w:rsid w:val="000D7808"/>
    <w:rsid w:val="000E12E8"/>
    <w:rsid w:val="000E22DC"/>
    <w:rsid w:val="000E232C"/>
    <w:rsid w:val="000E3F82"/>
    <w:rsid w:val="000E43E7"/>
    <w:rsid w:val="000F3283"/>
    <w:rsid w:val="000F4505"/>
    <w:rsid w:val="000F5E7A"/>
    <w:rsid w:val="001036BF"/>
    <w:rsid w:val="00106A89"/>
    <w:rsid w:val="00113550"/>
    <w:rsid w:val="0011628B"/>
    <w:rsid w:val="00117575"/>
    <w:rsid w:val="001175A8"/>
    <w:rsid w:val="00125923"/>
    <w:rsid w:val="00133E1E"/>
    <w:rsid w:val="00140B87"/>
    <w:rsid w:val="00151EE4"/>
    <w:rsid w:val="00173AAF"/>
    <w:rsid w:val="00173DC9"/>
    <w:rsid w:val="00173EE1"/>
    <w:rsid w:val="00173F5C"/>
    <w:rsid w:val="001801DE"/>
    <w:rsid w:val="00180F3B"/>
    <w:rsid w:val="00181D1A"/>
    <w:rsid w:val="00184775"/>
    <w:rsid w:val="0019249B"/>
    <w:rsid w:val="0019695F"/>
    <w:rsid w:val="001A00F2"/>
    <w:rsid w:val="001B3EBC"/>
    <w:rsid w:val="001B40DF"/>
    <w:rsid w:val="001C4D6F"/>
    <w:rsid w:val="001D3708"/>
    <w:rsid w:val="001D6574"/>
    <w:rsid w:val="001D7B5A"/>
    <w:rsid w:val="001E06E2"/>
    <w:rsid w:val="001E0760"/>
    <w:rsid w:val="001E2CDF"/>
    <w:rsid w:val="001E6895"/>
    <w:rsid w:val="001E7702"/>
    <w:rsid w:val="00217062"/>
    <w:rsid w:val="00217FBA"/>
    <w:rsid w:val="00223F6B"/>
    <w:rsid w:val="002330E1"/>
    <w:rsid w:val="00252885"/>
    <w:rsid w:val="00256759"/>
    <w:rsid w:val="00256E3F"/>
    <w:rsid w:val="00274650"/>
    <w:rsid w:val="0027482E"/>
    <w:rsid w:val="002767B1"/>
    <w:rsid w:val="00276D0A"/>
    <w:rsid w:val="0028399F"/>
    <w:rsid w:val="00283CC8"/>
    <w:rsid w:val="00287572"/>
    <w:rsid w:val="00295AE7"/>
    <w:rsid w:val="002A3877"/>
    <w:rsid w:val="002A7F6A"/>
    <w:rsid w:val="002B6F29"/>
    <w:rsid w:val="002C0267"/>
    <w:rsid w:val="002C39FA"/>
    <w:rsid w:val="002F46FC"/>
    <w:rsid w:val="002F5ACA"/>
    <w:rsid w:val="0030412A"/>
    <w:rsid w:val="003116D6"/>
    <w:rsid w:val="003216B9"/>
    <w:rsid w:val="00321ABB"/>
    <w:rsid w:val="003443A3"/>
    <w:rsid w:val="00354D8E"/>
    <w:rsid w:val="0036189E"/>
    <w:rsid w:val="00367D0F"/>
    <w:rsid w:val="003712BA"/>
    <w:rsid w:val="00372FDA"/>
    <w:rsid w:val="00380544"/>
    <w:rsid w:val="0038119A"/>
    <w:rsid w:val="0038406A"/>
    <w:rsid w:val="003852B7"/>
    <w:rsid w:val="003944F1"/>
    <w:rsid w:val="00395DD6"/>
    <w:rsid w:val="003A498B"/>
    <w:rsid w:val="003A60A3"/>
    <w:rsid w:val="003B56A5"/>
    <w:rsid w:val="003C20E0"/>
    <w:rsid w:val="003D1B25"/>
    <w:rsid w:val="003D22D1"/>
    <w:rsid w:val="003E124E"/>
    <w:rsid w:val="003E25F9"/>
    <w:rsid w:val="003E4E1B"/>
    <w:rsid w:val="003F47CA"/>
    <w:rsid w:val="003F4A5A"/>
    <w:rsid w:val="003F52F2"/>
    <w:rsid w:val="00412DE5"/>
    <w:rsid w:val="004201EE"/>
    <w:rsid w:val="004209AC"/>
    <w:rsid w:val="00437B27"/>
    <w:rsid w:val="00446206"/>
    <w:rsid w:val="00447400"/>
    <w:rsid w:val="00450FA9"/>
    <w:rsid w:val="004521C0"/>
    <w:rsid w:val="00463F1E"/>
    <w:rsid w:val="00471DF2"/>
    <w:rsid w:val="00472E12"/>
    <w:rsid w:val="004774F2"/>
    <w:rsid w:val="00480115"/>
    <w:rsid w:val="00482F47"/>
    <w:rsid w:val="00483CCB"/>
    <w:rsid w:val="00487607"/>
    <w:rsid w:val="00491C20"/>
    <w:rsid w:val="00492129"/>
    <w:rsid w:val="00493A1D"/>
    <w:rsid w:val="004A00DB"/>
    <w:rsid w:val="004A08AA"/>
    <w:rsid w:val="004A6914"/>
    <w:rsid w:val="004B4042"/>
    <w:rsid w:val="004D7AE3"/>
    <w:rsid w:val="004E2928"/>
    <w:rsid w:val="004F1208"/>
    <w:rsid w:val="00506728"/>
    <w:rsid w:val="00514258"/>
    <w:rsid w:val="00516F6F"/>
    <w:rsid w:val="00545993"/>
    <w:rsid w:val="00546589"/>
    <w:rsid w:val="00562FBA"/>
    <w:rsid w:val="005643A4"/>
    <w:rsid w:val="00565A2C"/>
    <w:rsid w:val="0056E86A"/>
    <w:rsid w:val="00574663"/>
    <w:rsid w:val="00574BDB"/>
    <w:rsid w:val="005766EC"/>
    <w:rsid w:val="0058323A"/>
    <w:rsid w:val="00585C62"/>
    <w:rsid w:val="005A3374"/>
    <w:rsid w:val="005B1369"/>
    <w:rsid w:val="005B61A5"/>
    <w:rsid w:val="005C589E"/>
    <w:rsid w:val="005D0277"/>
    <w:rsid w:val="005D0507"/>
    <w:rsid w:val="005D2691"/>
    <w:rsid w:val="005D584E"/>
    <w:rsid w:val="005D63D8"/>
    <w:rsid w:val="0061133D"/>
    <w:rsid w:val="0061184C"/>
    <w:rsid w:val="00615588"/>
    <w:rsid w:val="00623344"/>
    <w:rsid w:val="00623A87"/>
    <w:rsid w:val="00623B39"/>
    <w:rsid w:val="00631940"/>
    <w:rsid w:val="00634EFB"/>
    <w:rsid w:val="00636F69"/>
    <w:rsid w:val="00640DCE"/>
    <w:rsid w:val="006441BE"/>
    <w:rsid w:val="00645DCF"/>
    <w:rsid w:val="00652BF1"/>
    <w:rsid w:val="00657179"/>
    <w:rsid w:val="00660C35"/>
    <w:rsid w:val="00671778"/>
    <w:rsid w:val="00681CEB"/>
    <w:rsid w:val="00684958"/>
    <w:rsid w:val="006902D5"/>
    <w:rsid w:val="006951C2"/>
    <w:rsid w:val="006A2CCC"/>
    <w:rsid w:val="006A7352"/>
    <w:rsid w:val="006A7D5A"/>
    <w:rsid w:val="006B08ED"/>
    <w:rsid w:val="006D00DA"/>
    <w:rsid w:val="006D0F91"/>
    <w:rsid w:val="006D7ACF"/>
    <w:rsid w:val="006E3F15"/>
    <w:rsid w:val="006F36CB"/>
    <w:rsid w:val="006F7967"/>
    <w:rsid w:val="00702B48"/>
    <w:rsid w:val="007125F7"/>
    <w:rsid w:val="0072495D"/>
    <w:rsid w:val="00731AC1"/>
    <w:rsid w:val="0073404B"/>
    <w:rsid w:val="00741AB7"/>
    <w:rsid w:val="00750C56"/>
    <w:rsid w:val="00755DCC"/>
    <w:rsid w:val="00770A9C"/>
    <w:rsid w:val="00771BC7"/>
    <w:rsid w:val="00775DBA"/>
    <w:rsid w:val="00777D59"/>
    <w:rsid w:val="0078476D"/>
    <w:rsid w:val="00785AE9"/>
    <w:rsid w:val="00787CD8"/>
    <w:rsid w:val="00795C6E"/>
    <w:rsid w:val="007A1359"/>
    <w:rsid w:val="007A3B25"/>
    <w:rsid w:val="007A486D"/>
    <w:rsid w:val="007B3B31"/>
    <w:rsid w:val="007C28B0"/>
    <w:rsid w:val="007C56C1"/>
    <w:rsid w:val="007E0B64"/>
    <w:rsid w:val="00807DDF"/>
    <w:rsid w:val="00815E83"/>
    <w:rsid w:val="00820389"/>
    <w:rsid w:val="008204EE"/>
    <w:rsid w:val="00821C81"/>
    <w:rsid w:val="00824114"/>
    <w:rsid w:val="00824F81"/>
    <w:rsid w:val="0083681F"/>
    <w:rsid w:val="00837755"/>
    <w:rsid w:val="00843F67"/>
    <w:rsid w:val="00847FED"/>
    <w:rsid w:val="00853E1D"/>
    <w:rsid w:val="00862930"/>
    <w:rsid w:val="00877ED7"/>
    <w:rsid w:val="00882DDC"/>
    <w:rsid w:val="00883CE1"/>
    <w:rsid w:val="00884238"/>
    <w:rsid w:val="00891C1F"/>
    <w:rsid w:val="00892FFE"/>
    <w:rsid w:val="008966E5"/>
    <w:rsid w:val="008A218C"/>
    <w:rsid w:val="008A635F"/>
    <w:rsid w:val="008B02D7"/>
    <w:rsid w:val="008B12D0"/>
    <w:rsid w:val="008B29BD"/>
    <w:rsid w:val="008B5923"/>
    <w:rsid w:val="008C20A3"/>
    <w:rsid w:val="008C31C2"/>
    <w:rsid w:val="008D0AB9"/>
    <w:rsid w:val="008D29A3"/>
    <w:rsid w:val="008D3A62"/>
    <w:rsid w:val="008E3D7C"/>
    <w:rsid w:val="008F103D"/>
    <w:rsid w:val="008F166F"/>
    <w:rsid w:val="00900546"/>
    <w:rsid w:val="00901D18"/>
    <w:rsid w:val="009056E3"/>
    <w:rsid w:val="0091047F"/>
    <w:rsid w:val="00916876"/>
    <w:rsid w:val="00927226"/>
    <w:rsid w:val="009367A7"/>
    <w:rsid w:val="00941615"/>
    <w:rsid w:val="009475B5"/>
    <w:rsid w:val="00952FA2"/>
    <w:rsid w:val="00960A57"/>
    <w:rsid w:val="00972762"/>
    <w:rsid w:val="009C5F21"/>
    <w:rsid w:val="009C66DF"/>
    <w:rsid w:val="009D0F4A"/>
    <w:rsid w:val="009D18A2"/>
    <w:rsid w:val="009D41FB"/>
    <w:rsid w:val="009F073A"/>
    <w:rsid w:val="00A02F1B"/>
    <w:rsid w:val="00A056C0"/>
    <w:rsid w:val="00A0726E"/>
    <w:rsid w:val="00A07D77"/>
    <w:rsid w:val="00A238A2"/>
    <w:rsid w:val="00A406EC"/>
    <w:rsid w:val="00A4568D"/>
    <w:rsid w:val="00A60E4B"/>
    <w:rsid w:val="00A86B60"/>
    <w:rsid w:val="00A876EE"/>
    <w:rsid w:val="00AA0AD8"/>
    <w:rsid w:val="00AA1295"/>
    <w:rsid w:val="00AA2022"/>
    <w:rsid w:val="00AA5ECA"/>
    <w:rsid w:val="00AC565D"/>
    <w:rsid w:val="00AD0493"/>
    <w:rsid w:val="00AD1310"/>
    <w:rsid w:val="00AD281E"/>
    <w:rsid w:val="00AD28A9"/>
    <w:rsid w:val="00AE2BA0"/>
    <w:rsid w:val="00B077A9"/>
    <w:rsid w:val="00B10F23"/>
    <w:rsid w:val="00B15941"/>
    <w:rsid w:val="00B1706C"/>
    <w:rsid w:val="00B264A7"/>
    <w:rsid w:val="00B27145"/>
    <w:rsid w:val="00B31DB9"/>
    <w:rsid w:val="00B3318B"/>
    <w:rsid w:val="00B33CC3"/>
    <w:rsid w:val="00B6632C"/>
    <w:rsid w:val="00B702B5"/>
    <w:rsid w:val="00B865E1"/>
    <w:rsid w:val="00B87598"/>
    <w:rsid w:val="00B93843"/>
    <w:rsid w:val="00B9691A"/>
    <w:rsid w:val="00BA2D39"/>
    <w:rsid w:val="00BC12EF"/>
    <w:rsid w:val="00BC3461"/>
    <w:rsid w:val="00BD2AC6"/>
    <w:rsid w:val="00BD3A5F"/>
    <w:rsid w:val="00BD46EB"/>
    <w:rsid w:val="00BE5025"/>
    <w:rsid w:val="00BE74A3"/>
    <w:rsid w:val="00BE772C"/>
    <w:rsid w:val="00BF32F3"/>
    <w:rsid w:val="00C0761D"/>
    <w:rsid w:val="00C22609"/>
    <w:rsid w:val="00C2267C"/>
    <w:rsid w:val="00C369C6"/>
    <w:rsid w:val="00C413A0"/>
    <w:rsid w:val="00C424EA"/>
    <w:rsid w:val="00C46C02"/>
    <w:rsid w:val="00C5155B"/>
    <w:rsid w:val="00C6201A"/>
    <w:rsid w:val="00C70BDE"/>
    <w:rsid w:val="00C71983"/>
    <w:rsid w:val="00C76C3E"/>
    <w:rsid w:val="00CA6176"/>
    <w:rsid w:val="00CB0544"/>
    <w:rsid w:val="00CB1FC0"/>
    <w:rsid w:val="00CB34F0"/>
    <w:rsid w:val="00CC469F"/>
    <w:rsid w:val="00CC76AC"/>
    <w:rsid w:val="00CD20CB"/>
    <w:rsid w:val="00CD3F58"/>
    <w:rsid w:val="00CE0FF1"/>
    <w:rsid w:val="00CE3A7E"/>
    <w:rsid w:val="00CE65FF"/>
    <w:rsid w:val="00CE7306"/>
    <w:rsid w:val="00D01C11"/>
    <w:rsid w:val="00D07786"/>
    <w:rsid w:val="00D152C9"/>
    <w:rsid w:val="00D16035"/>
    <w:rsid w:val="00D2400A"/>
    <w:rsid w:val="00D2573F"/>
    <w:rsid w:val="00D26DC9"/>
    <w:rsid w:val="00D26F12"/>
    <w:rsid w:val="00D33C3E"/>
    <w:rsid w:val="00D35BB4"/>
    <w:rsid w:val="00D3662D"/>
    <w:rsid w:val="00D63963"/>
    <w:rsid w:val="00D721E1"/>
    <w:rsid w:val="00D82F24"/>
    <w:rsid w:val="00D83105"/>
    <w:rsid w:val="00D872DF"/>
    <w:rsid w:val="00DA5DD8"/>
    <w:rsid w:val="00DB1016"/>
    <w:rsid w:val="00DB62A3"/>
    <w:rsid w:val="00DB7166"/>
    <w:rsid w:val="00DC037E"/>
    <w:rsid w:val="00DD13BA"/>
    <w:rsid w:val="00DD1F33"/>
    <w:rsid w:val="00DD5424"/>
    <w:rsid w:val="00DD7C61"/>
    <w:rsid w:val="00DE01E1"/>
    <w:rsid w:val="00DE0DD7"/>
    <w:rsid w:val="00DE34CB"/>
    <w:rsid w:val="00DF6DB4"/>
    <w:rsid w:val="00E07157"/>
    <w:rsid w:val="00E315C5"/>
    <w:rsid w:val="00E42A46"/>
    <w:rsid w:val="00E4650D"/>
    <w:rsid w:val="00E661A4"/>
    <w:rsid w:val="00E71959"/>
    <w:rsid w:val="00E7607E"/>
    <w:rsid w:val="00E85BB8"/>
    <w:rsid w:val="00E85BE6"/>
    <w:rsid w:val="00E8690C"/>
    <w:rsid w:val="00E86AA9"/>
    <w:rsid w:val="00E93686"/>
    <w:rsid w:val="00EA3DBE"/>
    <w:rsid w:val="00EA5D8F"/>
    <w:rsid w:val="00EB3414"/>
    <w:rsid w:val="00EB6341"/>
    <w:rsid w:val="00EB67A8"/>
    <w:rsid w:val="00EB7BB1"/>
    <w:rsid w:val="00ED06D2"/>
    <w:rsid w:val="00ED3693"/>
    <w:rsid w:val="00EF0D3B"/>
    <w:rsid w:val="00EF7255"/>
    <w:rsid w:val="00F06C36"/>
    <w:rsid w:val="00F133C9"/>
    <w:rsid w:val="00F154C3"/>
    <w:rsid w:val="00F21377"/>
    <w:rsid w:val="00F22359"/>
    <w:rsid w:val="00F3510A"/>
    <w:rsid w:val="00F3775E"/>
    <w:rsid w:val="00F40F20"/>
    <w:rsid w:val="00F44180"/>
    <w:rsid w:val="00F50CF7"/>
    <w:rsid w:val="00F55287"/>
    <w:rsid w:val="00F56DCC"/>
    <w:rsid w:val="00F62DDD"/>
    <w:rsid w:val="00F66BD9"/>
    <w:rsid w:val="00F67DEA"/>
    <w:rsid w:val="00F71449"/>
    <w:rsid w:val="00F74553"/>
    <w:rsid w:val="00F80558"/>
    <w:rsid w:val="00F85A33"/>
    <w:rsid w:val="00F93B9B"/>
    <w:rsid w:val="00F93F4F"/>
    <w:rsid w:val="00FA364C"/>
    <w:rsid w:val="00FA7B82"/>
    <w:rsid w:val="00FB4486"/>
    <w:rsid w:val="00FB4D08"/>
    <w:rsid w:val="00FC0AE4"/>
    <w:rsid w:val="00FC2898"/>
    <w:rsid w:val="00FD00A6"/>
    <w:rsid w:val="00FD1E14"/>
    <w:rsid w:val="00FE13FD"/>
    <w:rsid w:val="00FF27B8"/>
    <w:rsid w:val="00FF5169"/>
    <w:rsid w:val="010BE9E5"/>
    <w:rsid w:val="01124834"/>
    <w:rsid w:val="0137AE33"/>
    <w:rsid w:val="016CFBB5"/>
    <w:rsid w:val="01B8BE76"/>
    <w:rsid w:val="022D9892"/>
    <w:rsid w:val="023805AF"/>
    <w:rsid w:val="023E28F8"/>
    <w:rsid w:val="024C5FD7"/>
    <w:rsid w:val="0281556E"/>
    <w:rsid w:val="02ADFD5A"/>
    <w:rsid w:val="02AE6272"/>
    <w:rsid w:val="02B67650"/>
    <w:rsid w:val="033B43CC"/>
    <w:rsid w:val="034961CD"/>
    <w:rsid w:val="037348E2"/>
    <w:rsid w:val="03F650E4"/>
    <w:rsid w:val="03FB2A97"/>
    <w:rsid w:val="04133881"/>
    <w:rsid w:val="0439E89D"/>
    <w:rsid w:val="04558B0B"/>
    <w:rsid w:val="046F8881"/>
    <w:rsid w:val="04C889E8"/>
    <w:rsid w:val="04CEF868"/>
    <w:rsid w:val="04E68006"/>
    <w:rsid w:val="04F005B0"/>
    <w:rsid w:val="05167B76"/>
    <w:rsid w:val="051C7ACB"/>
    <w:rsid w:val="052637FF"/>
    <w:rsid w:val="0527F621"/>
    <w:rsid w:val="05EC76B3"/>
    <w:rsid w:val="06A8DCB0"/>
    <w:rsid w:val="06FACB2B"/>
    <w:rsid w:val="0704C5F8"/>
    <w:rsid w:val="070C74F4"/>
    <w:rsid w:val="078CCB0B"/>
    <w:rsid w:val="079870C8"/>
    <w:rsid w:val="07CD0C6C"/>
    <w:rsid w:val="07FCCAB1"/>
    <w:rsid w:val="0897F5BA"/>
    <w:rsid w:val="08B246E8"/>
    <w:rsid w:val="08D28646"/>
    <w:rsid w:val="08FA508A"/>
    <w:rsid w:val="0956DDE9"/>
    <w:rsid w:val="0969BD62"/>
    <w:rsid w:val="09893333"/>
    <w:rsid w:val="09BBC223"/>
    <w:rsid w:val="0A24A328"/>
    <w:rsid w:val="0AF6101F"/>
    <w:rsid w:val="0B0DC445"/>
    <w:rsid w:val="0B2548C0"/>
    <w:rsid w:val="0B2D2D54"/>
    <w:rsid w:val="0B418DC4"/>
    <w:rsid w:val="0B4F29A0"/>
    <w:rsid w:val="0B535FB7"/>
    <w:rsid w:val="0B63B8A4"/>
    <w:rsid w:val="0BF188B8"/>
    <w:rsid w:val="0BF8FF3B"/>
    <w:rsid w:val="0C3A41E8"/>
    <w:rsid w:val="0C7025EA"/>
    <w:rsid w:val="0C7A9F1D"/>
    <w:rsid w:val="0C9C35FC"/>
    <w:rsid w:val="0CC20096"/>
    <w:rsid w:val="0D05521C"/>
    <w:rsid w:val="0D71DB78"/>
    <w:rsid w:val="0D8D6371"/>
    <w:rsid w:val="0DC746A7"/>
    <w:rsid w:val="0E2CAE3A"/>
    <w:rsid w:val="0E561317"/>
    <w:rsid w:val="0E58F622"/>
    <w:rsid w:val="0E636115"/>
    <w:rsid w:val="0ED2D0BC"/>
    <w:rsid w:val="0EFD6715"/>
    <w:rsid w:val="0F0FA7C0"/>
    <w:rsid w:val="0F3A22E4"/>
    <w:rsid w:val="0F5F3809"/>
    <w:rsid w:val="0F6672D4"/>
    <w:rsid w:val="0F77873A"/>
    <w:rsid w:val="0FC6C585"/>
    <w:rsid w:val="0FE3C5C3"/>
    <w:rsid w:val="0FEA2E09"/>
    <w:rsid w:val="1032BB65"/>
    <w:rsid w:val="10C50433"/>
    <w:rsid w:val="10E242A2"/>
    <w:rsid w:val="10FAB0BC"/>
    <w:rsid w:val="1129FB35"/>
    <w:rsid w:val="11373BF9"/>
    <w:rsid w:val="115F701D"/>
    <w:rsid w:val="117EE307"/>
    <w:rsid w:val="11888E20"/>
    <w:rsid w:val="11B6FA68"/>
    <w:rsid w:val="12033BFC"/>
    <w:rsid w:val="121C3004"/>
    <w:rsid w:val="121E4AAC"/>
    <w:rsid w:val="123CD535"/>
    <w:rsid w:val="129D210F"/>
    <w:rsid w:val="12CA97C6"/>
    <w:rsid w:val="137A7A48"/>
    <w:rsid w:val="137CBB56"/>
    <w:rsid w:val="13AB38BB"/>
    <w:rsid w:val="13BA1B0D"/>
    <w:rsid w:val="13D07932"/>
    <w:rsid w:val="1450AF59"/>
    <w:rsid w:val="14619BF7"/>
    <w:rsid w:val="148B831B"/>
    <w:rsid w:val="14B223B6"/>
    <w:rsid w:val="14C02EE2"/>
    <w:rsid w:val="14E0BD85"/>
    <w:rsid w:val="150F36C2"/>
    <w:rsid w:val="152D3BBC"/>
    <w:rsid w:val="1544B3C1"/>
    <w:rsid w:val="155568B2"/>
    <w:rsid w:val="155CA4A9"/>
    <w:rsid w:val="1587A4EE"/>
    <w:rsid w:val="15B44232"/>
    <w:rsid w:val="15C64F5E"/>
    <w:rsid w:val="15CA1034"/>
    <w:rsid w:val="15DC32FD"/>
    <w:rsid w:val="161C3DEB"/>
    <w:rsid w:val="16360709"/>
    <w:rsid w:val="167EDBA4"/>
    <w:rsid w:val="1691C5BB"/>
    <w:rsid w:val="16AD9225"/>
    <w:rsid w:val="1716A1B5"/>
    <w:rsid w:val="1729B68C"/>
    <w:rsid w:val="174F68AF"/>
    <w:rsid w:val="1769A32C"/>
    <w:rsid w:val="1780288A"/>
    <w:rsid w:val="179CE4F1"/>
    <w:rsid w:val="17A95D00"/>
    <w:rsid w:val="17D1D76A"/>
    <w:rsid w:val="184314F9"/>
    <w:rsid w:val="185C4BD7"/>
    <w:rsid w:val="185C566F"/>
    <w:rsid w:val="188D8C30"/>
    <w:rsid w:val="18C00073"/>
    <w:rsid w:val="18E81190"/>
    <w:rsid w:val="19264E7F"/>
    <w:rsid w:val="19300B0F"/>
    <w:rsid w:val="1991EE8E"/>
    <w:rsid w:val="19B0FC48"/>
    <w:rsid w:val="19B30DA2"/>
    <w:rsid w:val="19E15552"/>
    <w:rsid w:val="1A09C23F"/>
    <w:rsid w:val="1A09DF1E"/>
    <w:rsid w:val="1A2C2455"/>
    <w:rsid w:val="1A596116"/>
    <w:rsid w:val="1A808D6C"/>
    <w:rsid w:val="1A8E1140"/>
    <w:rsid w:val="1AAA3B5E"/>
    <w:rsid w:val="1AB51614"/>
    <w:rsid w:val="1AB69B21"/>
    <w:rsid w:val="1AD0EB53"/>
    <w:rsid w:val="1B41B47A"/>
    <w:rsid w:val="1B5B913D"/>
    <w:rsid w:val="1B880796"/>
    <w:rsid w:val="1BA3DD2A"/>
    <w:rsid w:val="1BDA6CAC"/>
    <w:rsid w:val="1BF457A3"/>
    <w:rsid w:val="1C064BBC"/>
    <w:rsid w:val="1C258F3F"/>
    <w:rsid w:val="1C66A090"/>
    <w:rsid w:val="1C956A2B"/>
    <w:rsid w:val="1D17ABE6"/>
    <w:rsid w:val="1D201F1C"/>
    <w:rsid w:val="1D58A6C6"/>
    <w:rsid w:val="1DB2C98E"/>
    <w:rsid w:val="1DC53176"/>
    <w:rsid w:val="1E05BCCD"/>
    <w:rsid w:val="1E91C54F"/>
    <w:rsid w:val="1E973FD6"/>
    <w:rsid w:val="1EB27687"/>
    <w:rsid w:val="1EC077B1"/>
    <w:rsid w:val="1EF3E6E7"/>
    <w:rsid w:val="1F113765"/>
    <w:rsid w:val="1F3DEC7E"/>
    <w:rsid w:val="1F4E99EF"/>
    <w:rsid w:val="1F6C494D"/>
    <w:rsid w:val="1FA8C6D1"/>
    <w:rsid w:val="1FB9CED7"/>
    <w:rsid w:val="1FF8AF94"/>
    <w:rsid w:val="2031C7F5"/>
    <w:rsid w:val="20707582"/>
    <w:rsid w:val="20AA482B"/>
    <w:rsid w:val="20ABB068"/>
    <w:rsid w:val="20C1F8B5"/>
    <w:rsid w:val="210C1890"/>
    <w:rsid w:val="211C797D"/>
    <w:rsid w:val="212BD7C4"/>
    <w:rsid w:val="21AC69EF"/>
    <w:rsid w:val="22112146"/>
    <w:rsid w:val="2236E89A"/>
    <w:rsid w:val="2252E0D5"/>
    <w:rsid w:val="22615610"/>
    <w:rsid w:val="2264DAC3"/>
    <w:rsid w:val="226C7CA3"/>
    <w:rsid w:val="2296DD1D"/>
    <w:rsid w:val="23027FDE"/>
    <w:rsid w:val="2329AB43"/>
    <w:rsid w:val="233665DA"/>
    <w:rsid w:val="2351889C"/>
    <w:rsid w:val="236630A0"/>
    <w:rsid w:val="2396DBFD"/>
    <w:rsid w:val="239D0DFD"/>
    <w:rsid w:val="23AEAA48"/>
    <w:rsid w:val="23B3CAD3"/>
    <w:rsid w:val="23F99977"/>
    <w:rsid w:val="24049C60"/>
    <w:rsid w:val="2421E860"/>
    <w:rsid w:val="2463C592"/>
    <w:rsid w:val="247442E4"/>
    <w:rsid w:val="24A472A7"/>
    <w:rsid w:val="24CA75C2"/>
    <w:rsid w:val="24DF79BA"/>
    <w:rsid w:val="24E40AB1"/>
    <w:rsid w:val="2528A4C9"/>
    <w:rsid w:val="254A7AA9"/>
    <w:rsid w:val="255052C5"/>
    <w:rsid w:val="256D0506"/>
    <w:rsid w:val="257F781E"/>
    <w:rsid w:val="25B019C6"/>
    <w:rsid w:val="2677B2B3"/>
    <w:rsid w:val="26ABB047"/>
    <w:rsid w:val="26C00E39"/>
    <w:rsid w:val="26D84E58"/>
    <w:rsid w:val="27154B6A"/>
    <w:rsid w:val="2771A6D1"/>
    <w:rsid w:val="279E3180"/>
    <w:rsid w:val="27DC4EB1"/>
    <w:rsid w:val="281B3DC9"/>
    <w:rsid w:val="282F4A5F"/>
    <w:rsid w:val="2842805E"/>
    <w:rsid w:val="28592EAE"/>
    <w:rsid w:val="28A1C74B"/>
    <w:rsid w:val="28B11BCB"/>
    <w:rsid w:val="28B2F049"/>
    <w:rsid w:val="28B7282C"/>
    <w:rsid w:val="293FF644"/>
    <w:rsid w:val="2953C7D6"/>
    <w:rsid w:val="299A88C0"/>
    <w:rsid w:val="29B807CF"/>
    <w:rsid w:val="2A17E24E"/>
    <w:rsid w:val="2A1F21E7"/>
    <w:rsid w:val="2A224B8F"/>
    <w:rsid w:val="2A73930B"/>
    <w:rsid w:val="2A79E617"/>
    <w:rsid w:val="2AA16D59"/>
    <w:rsid w:val="2AEC4524"/>
    <w:rsid w:val="2B172555"/>
    <w:rsid w:val="2B1BAA28"/>
    <w:rsid w:val="2B7A2120"/>
    <w:rsid w:val="2B8528EF"/>
    <w:rsid w:val="2BC19BDB"/>
    <w:rsid w:val="2BC678E6"/>
    <w:rsid w:val="2BEB86E3"/>
    <w:rsid w:val="2BF41F0A"/>
    <w:rsid w:val="2C0EA432"/>
    <w:rsid w:val="2C31A3F8"/>
    <w:rsid w:val="2CA7A7BA"/>
    <w:rsid w:val="2CB0CA7A"/>
    <w:rsid w:val="2CCAD46F"/>
    <w:rsid w:val="2CE7CF4F"/>
    <w:rsid w:val="2CF8753A"/>
    <w:rsid w:val="2D2D65AE"/>
    <w:rsid w:val="2D6A05DD"/>
    <w:rsid w:val="2D6D37CE"/>
    <w:rsid w:val="2D7B7173"/>
    <w:rsid w:val="2D7C3DCF"/>
    <w:rsid w:val="2D7FBA69"/>
    <w:rsid w:val="2D9A9922"/>
    <w:rsid w:val="2DFAE929"/>
    <w:rsid w:val="2E147CD6"/>
    <w:rsid w:val="2E1AEC96"/>
    <w:rsid w:val="2E4570CA"/>
    <w:rsid w:val="2F17CA72"/>
    <w:rsid w:val="2F3410B6"/>
    <w:rsid w:val="2F4CC94D"/>
    <w:rsid w:val="2F5CF994"/>
    <w:rsid w:val="2F85730D"/>
    <w:rsid w:val="2F8CDF12"/>
    <w:rsid w:val="2FD37E76"/>
    <w:rsid w:val="30182756"/>
    <w:rsid w:val="3024D970"/>
    <w:rsid w:val="3048A69B"/>
    <w:rsid w:val="30742FFB"/>
    <w:rsid w:val="307FA7E5"/>
    <w:rsid w:val="3090FFB8"/>
    <w:rsid w:val="30AAB87E"/>
    <w:rsid w:val="30CA5FB1"/>
    <w:rsid w:val="30DC17B1"/>
    <w:rsid w:val="310F9D87"/>
    <w:rsid w:val="3136C57A"/>
    <w:rsid w:val="313AA0D9"/>
    <w:rsid w:val="31519C86"/>
    <w:rsid w:val="31670FB5"/>
    <w:rsid w:val="3177BA56"/>
    <w:rsid w:val="31A046E0"/>
    <w:rsid w:val="31B3A832"/>
    <w:rsid w:val="31C26F92"/>
    <w:rsid w:val="31CC6737"/>
    <w:rsid w:val="31D52CBC"/>
    <w:rsid w:val="31D8C09B"/>
    <w:rsid w:val="31D96155"/>
    <w:rsid w:val="31DC046E"/>
    <w:rsid w:val="3218EB0A"/>
    <w:rsid w:val="321ED2A6"/>
    <w:rsid w:val="3230EB37"/>
    <w:rsid w:val="32697810"/>
    <w:rsid w:val="32A1F833"/>
    <w:rsid w:val="32C4DE1B"/>
    <w:rsid w:val="32E8077A"/>
    <w:rsid w:val="331FF878"/>
    <w:rsid w:val="336A11CC"/>
    <w:rsid w:val="33BCC45B"/>
    <w:rsid w:val="33D5A6B5"/>
    <w:rsid w:val="33D6333D"/>
    <w:rsid w:val="341D0571"/>
    <w:rsid w:val="343F2614"/>
    <w:rsid w:val="34B3FD9D"/>
    <w:rsid w:val="34BBC8D9"/>
    <w:rsid w:val="3527B2D2"/>
    <w:rsid w:val="35311E3B"/>
    <w:rsid w:val="353A425B"/>
    <w:rsid w:val="35688BF9"/>
    <w:rsid w:val="3586C46B"/>
    <w:rsid w:val="35A7E0AE"/>
    <w:rsid w:val="362AAFAF"/>
    <w:rsid w:val="364B2B79"/>
    <w:rsid w:val="36CEB4B7"/>
    <w:rsid w:val="3703ED62"/>
    <w:rsid w:val="37045C5A"/>
    <w:rsid w:val="3755D16D"/>
    <w:rsid w:val="37564621"/>
    <w:rsid w:val="37DF5C87"/>
    <w:rsid w:val="37F4AE75"/>
    <w:rsid w:val="380136E8"/>
    <w:rsid w:val="382ED1DD"/>
    <w:rsid w:val="385FB3E5"/>
    <w:rsid w:val="38692C49"/>
    <w:rsid w:val="3904A4FB"/>
    <w:rsid w:val="393000CB"/>
    <w:rsid w:val="395DD4C3"/>
    <w:rsid w:val="3982CC3B"/>
    <w:rsid w:val="398A5188"/>
    <w:rsid w:val="398D378A"/>
    <w:rsid w:val="39AF38FB"/>
    <w:rsid w:val="39FF3B2E"/>
    <w:rsid w:val="3A0259EF"/>
    <w:rsid w:val="3A0273BB"/>
    <w:rsid w:val="3A0BAE08"/>
    <w:rsid w:val="3A329859"/>
    <w:rsid w:val="3A7B488B"/>
    <w:rsid w:val="3AB6506D"/>
    <w:rsid w:val="3ACBD12C"/>
    <w:rsid w:val="3B2E1AD3"/>
    <w:rsid w:val="3B314264"/>
    <w:rsid w:val="3B4F7E2F"/>
    <w:rsid w:val="3B6EAAB2"/>
    <w:rsid w:val="3B715D85"/>
    <w:rsid w:val="3BC4F597"/>
    <w:rsid w:val="3C67A18D"/>
    <w:rsid w:val="3CAB20FC"/>
    <w:rsid w:val="3D601ACC"/>
    <w:rsid w:val="3D610D1F"/>
    <w:rsid w:val="3DC3C061"/>
    <w:rsid w:val="3DE879A1"/>
    <w:rsid w:val="3E0FD6EF"/>
    <w:rsid w:val="3E2CB48A"/>
    <w:rsid w:val="3E5EF178"/>
    <w:rsid w:val="3E69794C"/>
    <w:rsid w:val="3E754B4E"/>
    <w:rsid w:val="3F160DAB"/>
    <w:rsid w:val="3FD8E562"/>
    <w:rsid w:val="3FE9FAFD"/>
    <w:rsid w:val="401D8619"/>
    <w:rsid w:val="4065615B"/>
    <w:rsid w:val="407776E7"/>
    <w:rsid w:val="4077ACC4"/>
    <w:rsid w:val="4094358D"/>
    <w:rsid w:val="40EBB8FF"/>
    <w:rsid w:val="40FD8D7A"/>
    <w:rsid w:val="41281357"/>
    <w:rsid w:val="4147E099"/>
    <w:rsid w:val="4154B73F"/>
    <w:rsid w:val="416FEEFE"/>
    <w:rsid w:val="41845D03"/>
    <w:rsid w:val="4224E52E"/>
    <w:rsid w:val="423B87CE"/>
    <w:rsid w:val="425E8D53"/>
    <w:rsid w:val="427D89CE"/>
    <w:rsid w:val="42970DC0"/>
    <w:rsid w:val="4298B31F"/>
    <w:rsid w:val="42A08CB1"/>
    <w:rsid w:val="42BF720B"/>
    <w:rsid w:val="42CB44C0"/>
    <w:rsid w:val="42DAB584"/>
    <w:rsid w:val="42E43CA7"/>
    <w:rsid w:val="42F52C13"/>
    <w:rsid w:val="431A26F4"/>
    <w:rsid w:val="435B338A"/>
    <w:rsid w:val="43C0B58F"/>
    <w:rsid w:val="43E94DFB"/>
    <w:rsid w:val="4424C8F9"/>
    <w:rsid w:val="4426C1C1"/>
    <w:rsid w:val="4429DF35"/>
    <w:rsid w:val="444AF872"/>
    <w:rsid w:val="444F5ED3"/>
    <w:rsid w:val="449AAB74"/>
    <w:rsid w:val="44B352DD"/>
    <w:rsid w:val="44BD254B"/>
    <w:rsid w:val="45087012"/>
    <w:rsid w:val="4523212E"/>
    <w:rsid w:val="454F4689"/>
    <w:rsid w:val="45D71730"/>
    <w:rsid w:val="45D91189"/>
    <w:rsid w:val="466DF924"/>
    <w:rsid w:val="46B7632D"/>
    <w:rsid w:val="46CC967B"/>
    <w:rsid w:val="46FD00B6"/>
    <w:rsid w:val="47037BFE"/>
    <w:rsid w:val="471FB62B"/>
    <w:rsid w:val="4726E4E1"/>
    <w:rsid w:val="47481EC3"/>
    <w:rsid w:val="4755511E"/>
    <w:rsid w:val="47C398AA"/>
    <w:rsid w:val="47CEC13A"/>
    <w:rsid w:val="47DD29A0"/>
    <w:rsid w:val="4879D460"/>
    <w:rsid w:val="4879F3C4"/>
    <w:rsid w:val="4898D117"/>
    <w:rsid w:val="48C785ED"/>
    <w:rsid w:val="48C8F9D0"/>
    <w:rsid w:val="48CBEB1F"/>
    <w:rsid w:val="48FEA644"/>
    <w:rsid w:val="4928E18E"/>
    <w:rsid w:val="4931DC7C"/>
    <w:rsid w:val="498061C1"/>
    <w:rsid w:val="49857E1F"/>
    <w:rsid w:val="49DFD653"/>
    <w:rsid w:val="49EFD9C3"/>
    <w:rsid w:val="4A02848A"/>
    <w:rsid w:val="4A50B61B"/>
    <w:rsid w:val="4A6EFBC0"/>
    <w:rsid w:val="4A796F15"/>
    <w:rsid w:val="4A92FA28"/>
    <w:rsid w:val="4A97D07E"/>
    <w:rsid w:val="4A9E2409"/>
    <w:rsid w:val="4A9FF038"/>
    <w:rsid w:val="4AA7CAAE"/>
    <w:rsid w:val="4AE04741"/>
    <w:rsid w:val="4AE08714"/>
    <w:rsid w:val="4AEF4E8C"/>
    <w:rsid w:val="4AFF5765"/>
    <w:rsid w:val="4B0C84D1"/>
    <w:rsid w:val="4B48D99C"/>
    <w:rsid w:val="4B9F4980"/>
    <w:rsid w:val="4BDD6CED"/>
    <w:rsid w:val="4C0B512E"/>
    <w:rsid w:val="4C423379"/>
    <w:rsid w:val="4C7879F4"/>
    <w:rsid w:val="4CE4EC0E"/>
    <w:rsid w:val="4D187AAB"/>
    <w:rsid w:val="4D45B491"/>
    <w:rsid w:val="4D4A4F28"/>
    <w:rsid w:val="4DBD6094"/>
    <w:rsid w:val="4DF94C28"/>
    <w:rsid w:val="4E0744EA"/>
    <w:rsid w:val="4E619601"/>
    <w:rsid w:val="4E6A96E7"/>
    <w:rsid w:val="4E6E1BE4"/>
    <w:rsid w:val="4E720952"/>
    <w:rsid w:val="4E80BC6F"/>
    <w:rsid w:val="4E9F2E3C"/>
    <w:rsid w:val="4EAF5258"/>
    <w:rsid w:val="4ED4C3A5"/>
    <w:rsid w:val="4ED8436C"/>
    <w:rsid w:val="4F008DC5"/>
    <w:rsid w:val="4F208F01"/>
    <w:rsid w:val="4F320B7C"/>
    <w:rsid w:val="4F508F38"/>
    <w:rsid w:val="4F6D60AF"/>
    <w:rsid w:val="4FAE703B"/>
    <w:rsid w:val="4FBAEB0E"/>
    <w:rsid w:val="4FC0C463"/>
    <w:rsid w:val="4FC5F614"/>
    <w:rsid w:val="4FEA5955"/>
    <w:rsid w:val="505B17E0"/>
    <w:rsid w:val="505D0F8B"/>
    <w:rsid w:val="50B5FCA5"/>
    <w:rsid w:val="50E4CBB8"/>
    <w:rsid w:val="512685D6"/>
    <w:rsid w:val="512B7AA1"/>
    <w:rsid w:val="5153F5DA"/>
    <w:rsid w:val="517D29BC"/>
    <w:rsid w:val="518909DF"/>
    <w:rsid w:val="51D06364"/>
    <w:rsid w:val="5218ACD8"/>
    <w:rsid w:val="529087F3"/>
    <w:rsid w:val="52B4A034"/>
    <w:rsid w:val="52E29914"/>
    <w:rsid w:val="532D86E9"/>
    <w:rsid w:val="5335C536"/>
    <w:rsid w:val="533718BD"/>
    <w:rsid w:val="533C9C63"/>
    <w:rsid w:val="5373451F"/>
    <w:rsid w:val="53B0633C"/>
    <w:rsid w:val="541DB5D7"/>
    <w:rsid w:val="54767C16"/>
    <w:rsid w:val="5493CFE4"/>
    <w:rsid w:val="54F4737D"/>
    <w:rsid w:val="5508AA83"/>
    <w:rsid w:val="553C9FD0"/>
    <w:rsid w:val="555E9EB6"/>
    <w:rsid w:val="56102350"/>
    <w:rsid w:val="565887CC"/>
    <w:rsid w:val="5667D07D"/>
    <w:rsid w:val="56774DD1"/>
    <w:rsid w:val="568BCE54"/>
    <w:rsid w:val="56A134F5"/>
    <w:rsid w:val="56C251C3"/>
    <w:rsid w:val="56D3406A"/>
    <w:rsid w:val="5721089B"/>
    <w:rsid w:val="57555C5A"/>
    <w:rsid w:val="5772A3C6"/>
    <w:rsid w:val="5782A24A"/>
    <w:rsid w:val="579BEFF4"/>
    <w:rsid w:val="57CBA377"/>
    <w:rsid w:val="57E914B1"/>
    <w:rsid w:val="585E2224"/>
    <w:rsid w:val="593A43F1"/>
    <w:rsid w:val="5963EEE6"/>
    <w:rsid w:val="5965D477"/>
    <w:rsid w:val="59824473"/>
    <w:rsid w:val="5984E512"/>
    <w:rsid w:val="59E0F5D7"/>
    <w:rsid w:val="5A0A7FE3"/>
    <w:rsid w:val="5A1D6627"/>
    <w:rsid w:val="5A457099"/>
    <w:rsid w:val="5A697212"/>
    <w:rsid w:val="5A7FDE45"/>
    <w:rsid w:val="5A963D01"/>
    <w:rsid w:val="5A9CCFC8"/>
    <w:rsid w:val="5AB0A799"/>
    <w:rsid w:val="5ACC953D"/>
    <w:rsid w:val="5B1EFEF2"/>
    <w:rsid w:val="5B319A75"/>
    <w:rsid w:val="5B39AA5F"/>
    <w:rsid w:val="5B8E2F29"/>
    <w:rsid w:val="5C00626E"/>
    <w:rsid w:val="5C1F45F8"/>
    <w:rsid w:val="5C2E3CE0"/>
    <w:rsid w:val="5C623DF0"/>
    <w:rsid w:val="5C77E411"/>
    <w:rsid w:val="5C7D527B"/>
    <w:rsid w:val="5CCEC092"/>
    <w:rsid w:val="5CF487AA"/>
    <w:rsid w:val="5CF54B5F"/>
    <w:rsid w:val="5D1761C0"/>
    <w:rsid w:val="5D319347"/>
    <w:rsid w:val="5DC7A318"/>
    <w:rsid w:val="5DFC152A"/>
    <w:rsid w:val="5E445A2B"/>
    <w:rsid w:val="5E7FB60F"/>
    <w:rsid w:val="5E9655D6"/>
    <w:rsid w:val="5EA0669B"/>
    <w:rsid w:val="5EB8F79F"/>
    <w:rsid w:val="5EC3A588"/>
    <w:rsid w:val="5F0148B9"/>
    <w:rsid w:val="5F56873D"/>
    <w:rsid w:val="5F7BA515"/>
    <w:rsid w:val="5F8B5300"/>
    <w:rsid w:val="5F8BC103"/>
    <w:rsid w:val="5F9C4340"/>
    <w:rsid w:val="6002A6DC"/>
    <w:rsid w:val="6016BEB5"/>
    <w:rsid w:val="603DA26B"/>
    <w:rsid w:val="60639AA5"/>
    <w:rsid w:val="60693409"/>
    <w:rsid w:val="60800004"/>
    <w:rsid w:val="6087BE08"/>
    <w:rsid w:val="60DFC78C"/>
    <w:rsid w:val="60F4BA4B"/>
    <w:rsid w:val="6175E706"/>
    <w:rsid w:val="618542E2"/>
    <w:rsid w:val="61D80AFF"/>
    <w:rsid w:val="61DB2BE2"/>
    <w:rsid w:val="61FF6B06"/>
    <w:rsid w:val="62107C5D"/>
    <w:rsid w:val="62238E69"/>
    <w:rsid w:val="623DBAF5"/>
    <w:rsid w:val="628EE1B4"/>
    <w:rsid w:val="62A00655"/>
    <w:rsid w:val="62A7530E"/>
    <w:rsid w:val="63043DB8"/>
    <w:rsid w:val="6375432D"/>
    <w:rsid w:val="63972CA7"/>
    <w:rsid w:val="63BA7B8A"/>
    <w:rsid w:val="63C7E2CD"/>
    <w:rsid w:val="63D1E53A"/>
    <w:rsid w:val="644D3623"/>
    <w:rsid w:val="646B56AE"/>
    <w:rsid w:val="646F3103"/>
    <w:rsid w:val="64A5C8D7"/>
    <w:rsid w:val="64A8724F"/>
    <w:rsid w:val="64B9B281"/>
    <w:rsid w:val="64E59AEE"/>
    <w:rsid w:val="65370BC8"/>
    <w:rsid w:val="654418DD"/>
    <w:rsid w:val="6560962D"/>
    <w:rsid w:val="659A2ACC"/>
    <w:rsid w:val="65C1A3B3"/>
    <w:rsid w:val="65C69E28"/>
    <w:rsid w:val="65CD18A8"/>
    <w:rsid w:val="65D895CB"/>
    <w:rsid w:val="65F25767"/>
    <w:rsid w:val="65FAC0E5"/>
    <w:rsid w:val="6617E6AF"/>
    <w:rsid w:val="6637D6E1"/>
    <w:rsid w:val="6665EE9F"/>
    <w:rsid w:val="667AA78D"/>
    <w:rsid w:val="66E9540D"/>
    <w:rsid w:val="6722284D"/>
    <w:rsid w:val="674D3962"/>
    <w:rsid w:val="676898B5"/>
    <w:rsid w:val="67829FF8"/>
    <w:rsid w:val="67A507C9"/>
    <w:rsid w:val="68179B4B"/>
    <w:rsid w:val="68216BF3"/>
    <w:rsid w:val="682FC2CD"/>
    <w:rsid w:val="6868DE70"/>
    <w:rsid w:val="686D619A"/>
    <w:rsid w:val="68AE9797"/>
    <w:rsid w:val="68BD8926"/>
    <w:rsid w:val="68DD911F"/>
    <w:rsid w:val="68F65907"/>
    <w:rsid w:val="69046916"/>
    <w:rsid w:val="692C0563"/>
    <w:rsid w:val="69B6445E"/>
    <w:rsid w:val="69BD3C54"/>
    <w:rsid w:val="69CACF1D"/>
    <w:rsid w:val="69D316B2"/>
    <w:rsid w:val="69ED4C0C"/>
    <w:rsid w:val="6A9A6809"/>
    <w:rsid w:val="6AC3C2C1"/>
    <w:rsid w:val="6AD487AC"/>
    <w:rsid w:val="6AE149A0"/>
    <w:rsid w:val="6AFBAFA2"/>
    <w:rsid w:val="6B019298"/>
    <w:rsid w:val="6B0AE607"/>
    <w:rsid w:val="6B455DE5"/>
    <w:rsid w:val="6B86D696"/>
    <w:rsid w:val="6B8AF2F3"/>
    <w:rsid w:val="6BB916B0"/>
    <w:rsid w:val="6BEB23FE"/>
    <w:rsid w:val="6BF66703"/>
    <w:rsid w:val="6C25A0F4"/>
    <w:rsid w:val="6C3ABEA7"/>
    <w:rsid w:val="6C3C09D8"/>
    <w:rsid w:val="6C8C0EB8"/>
    <w:rsid w:val="6CF6EDF4"/>
    <w:rsid w:val="6D163D26"/>
    <w:rsid w:val="6D2E87C9"/>
    <w:rsid w:val="6D7B3F5F"/>
    <w:rsid w:val="6DA4BB08"/>
    <w:rsid w:val="6E42EA1D"/>
    <w:rsid w:val="6E8A83FE"/>
    <w:rsid w:val="6E91D990"/>
    <w:rsid w:val="6E951B18"/>
    <w:rsid w:val="6EDD9C55"/>
    <w:rsid w:val="6EDDCE0E"/>
    <w:rsid w:val="6EE3E13B"/>
    <w:rsid w:val="6EE640DD"/>
    <w:rsid w:val="6F2001BA"/>
    <w:rsid w:val="6F78033F"/>
    <w:rsid w:val="6F7B1C96"/>
    <w:rsid w:val="6F85D0D3"/>
    <w:rsid w:val="700414F4"/>
    <w:rsid w:val="70505A5E"/>
    <w:rsid w:val="7057CE33"/>
    <w:rsid w:val="706443B8"/>
    <w:rsid w:val="706C094A"/>
    <w:rsid w:val="706FDD62"/>
    <w:rsid w:val="70714C68"/>
    <w:rsid w:val="7091E3F3"/>
    <w:rsid w:val="70A09ED1"/>
    <w:rsid w:val="70A1CC48"/>
    <w:rsid w:val="70A57884"/>
    <w:rsid w:val="70B11BAC"/>
    <w:rsid w:val="70BF9C4C"/>
    <w:rsid w:val="70C9F909"/>
    <w:rsid w:val="70FDD8DC"/>
    <w:rsid w:val="7146417A"/>
    <w:rsid w:val="71546D8A"/>
    <w:rsid w:val="71B7A6A2"/>
    <w:rsid w:val="72289987"/>
    <w:rsid w:val="7242658B"/>
    <w:rsid w:val="7243C947"/>
    <w:rsid w:val="724A91EE"/>
    <w:rsid w:val="726B4B4C"/>
    <w:rsid w:val="726F5577"/>
    <w:rsid w:val="72A8B53D"/>
    <w:rsid w:val="72C0F64B"/>
    <w:rsid w:val="72EA2717"/>
    <w:rsid w:val="7304DD59"/>
    <w:rsid w:val="734E830D"/>
    <w:rsid w:val="73617E54"/>
    <w:rsid w:val="7393547D"/>
    <w:rsid w:val="739C651A"/>
    <w:rsid w:val="739D7B0D"/>
    <w:rsid w:val="73B720DB"/>
    <w:rsid w:val="73DD701A"/>
    <w:rsid w:val="7406B3F5"/>
    <w:rsid w:val="742114DF"/>
    <w:rsid w:val="7437701D"/>
    <w:rsid w:val="74865AA5"/>
    <w:rsid w:val="749D84E0"/>
    <w:rsid w:val="74B767A3"/>
    <w:rsid w:val="74E165C4"/>
    <w:rsid w:val="75205D2F"/>
    <w:rsid w:val="7523DD02"/>
    <w:rsid w:val="7629A2C7"/>
    <w:rsid w:val="76341C57"/>
    <w:rsid w:val="76455AC5"/>
    <w:rsid w:val="76733D2A"/>
    <w:rsid w:val="76AE2FA6"/>
    <w:rsid w:val="76DC1B3A"/>
    <w:rsid w:val="777E2FFB"/>
    <w:rsid w:val="77851113"/>
    <w:rsid w:val="77CD6B4D"/>
    <w:rsid w:val="77D6E319"/>
    <w:rsid w:val="77E1893E"/>
    <w:rsid w:val="77F84183"/>
    <w:rsid w:val="77FF182E"/>
    <w:rsid w:val="7806B372"/>
    <w:rsid w:val="785B8AA0"/>
    <w:rsid w:val="7893B5D0"/>
    <w:rsid w:val="78B0E13D"/>
    <w:rsid w:val="7957D7F9"/>
    <w:rsid w:val="79740E54"/>
    <w:rsid w:val="79893FED"/>
    <w:rsid w:val="79E72532"/>
    <w:rsid w:val="79F76F6E"/>
    <w:rsid w:val="7A0192B2"/>
    <w:rsid w:val="7A0C2C78"/>
    <w:rsid w:val="7A2743CF"/>
    <w:rsid w:val="7A9C4F09"/>
    <w:rsid w:val="7AADC97F"/>
    <w:rsid w:val="7AD14543"/>
    <w:rsid w:val="7AD25504"/>
    <w:rsid w:val="7AF5A05C"/>
    <w:rsid w:val="7B00A223"/>
    <w:rsid w:val="7B3585E4"/>
    <w:rsid w:val="7B8C5AF1"/>
    <w:rsid w:val="7B957BA1"/>
    <w:rsid w:val="7BAB2DEA"/>
    <w:rsid w:val="7BBD1B22"/>
    <w:rsid w:val="7C62AB04"/>
    <w:rsid w:val="7C6D15A4"/>
    <w:rsid w:val="7C9BF154"/>
    <w:rsid w:val="7C9EBFC7"/>
    <w:rsid w:val="7CA241BA"/>
    <w:rsid w:val="7CEA8699"/>
    <w:rsid w:val="7D1A5045"/>
    <w:rsid w:val="7D2B19C3"/>
    <w:rsid w:val="7D8D62E7"/>
    <w:rsid w:val="7D9BA86A"/>
    <w:rsid w:val="7DD8F6BC"/>
    <w:rsid w:val="7DDDA7E7"/>
    <w:rsid w:val="7DFE1022"/>
    <w:rsid w:val="7E5A9B0E"/>
    <w:rsid w:val="7E7C0ED6"/>
    <w:rsid w:val="7EB4FAB9"/>
    <w:rsid w:val="7EB54699"/>
    <w:rsid w:val="7ECCD1E5"/>
    <w:rsid w:val="7F02F754"/>
    <w:rsid w:val="7F43E33D"/>
    <w:rsid w:val="7FA6D18F"/>
    <w:rsid w:val="7FAE6D6A"/>
    <w:rsid w:val="7FD5753F"/>
    <w:rsid w:val="7FDC3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21DFB"/>
  <w15:chartTrackingRefBased/>
  <w15:docId w15:val="{F2FE12BE-0960-42A3-B44A-A9EE979D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5A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65A2C"/>
  </w:style>
  <w:style w:type="character" w:customStyle="1" w:styleId="eop">
    <w:name w:val="eop"/>
    <w:basedOn w:val="DefaultParagraphFont"/>
    <w:rsid w:val="00565A2C"/>
  </w:style>
  <w:style w:type="character" w:styleId="Hyperlink">
    <w:name w:val="Hyperlink"/>
    <w:basedOn w:val="DefaultParagraphFont"/>
    <w:uiPriority w:val="99"/>
    <w:unhideWhenUsed/>
    <w:rsid w:val="00565A2C"/>
    <w:rPr>
      <w:color w:val="0563C1" w:themeColor="hyperlink"/>
      <w:u w:val="single"/>
    </w:rPr>
  </w:style>
  <w:style w:type="paragraph" w:styleId="CommentText">
    <w:name w:val="annotation text"/>
    <w:basedOn w:val="Normal"/>
    <w:link w:val="CommentTextChar"/>
    <w:uiPriority w:val="99"/>
    <w:unhideWhenUsed/>
    <w:rsid w:val="00565A2C"/>
    <w:pPr>
      <w:spacing w:line="240" w:lineRule="auto"/>
    </w:pPr>
    <w:rPr>
      <w:sz w:val="20"/>
      <w:szCs w:val="20"/>
    </w:rPr>
  </w:style>
  <w:style w:type="character" w:customStyle="1" w:styleId="CommentTextChar">
    <w:name w:val="Comment Text Char"/>
    <w:basedOn w:val="DefaultParagraphFont"/>
    <w:link w:val="CommentText"/>
    <w:uiPriority w:val="99"/>
    <w:rsid w:val="00565A2C"/>
    <w:rPr>
      <w:sz w:val="20"/>
      <w:szCs w:val="20"/>
    </w:rPr>
  </w:style>
  <w:style w:type="character" w:styleId="CommentReference">
    <w:name w:val="annotation reference"/>
    <w:basedOn w:val="DefaultParagraphFont"/>
    <w:uiPriority w:val="99"/>
    <w:semiHidden/>
    <w:unhideWhenUsed/>
    <w:rsid w:val="00565A2C"/>
    <w:rPr>
      <w:sz w:val="16"/>
      <w:szCs w:val="16"/>
    </w:rPr>
  </w:style>
  <w:style w:type="paragraph" w:styleId="CommentSubject">
    <w:name w:val="annotation subject"/>
    <w:basedOn w:val="CommentText"/>
    <w:next w:val="CommentText"/>
    <w:link w:val="CommentSubjectChar"/>
    <w:uiPriority w:val="99"/>
    <w:semiHidden/>
    <w:unhideWhenUsed/>
    <w:rsid w:val="001D6574"/>
    <w:rPr>
      <w:b/>
      <w:bCs/>
    </w:rPr>
  </w:style>
  <w:style w:type="character" w:customStyle="1" w:styleId="CommentSubjectChar">
    <w:name w:val="Comment Subject Char"/>
    <w:basedOn w:val="CommentTextChar"/>
    <w:link w:val="CommentSubject"/>
    <w:uiPriority w:val="99"/>
    <w:semiHidden/>
    <w:rsid w:val="001D6574"/>
    <w:rPr>
      <w:b/>
      <w:bCs/>
      <w:sz w:val="20"/>
      <w:szCs w:val="20"/>
    </w:rPr>
  </w:style>
  <w:style w:type="paragraph" w:styleId="ListParagraph">
    <w:name w:val="List Paragraph"/>
    <w:basedOn w:val="Normal"/>
    <w:uiPriority w:val="34"/>
    <w:qFormat/>
    <w:rsid w:val="00471DF2"/>
    <w:pPr>
      <w:ind w:left="720"/>
      <w:contextualSpacing/>
    </w:pPr>
  </w:style>
  <w:style w:type="paragraph" w:styleId="Revision">
    <w:name w:val="Revision"/>
    <w:hidden/>
    <w:uiPriority w:val="99"/>
    <w:semiHidden/>
    <w:rsid w:val="00CC76AC"/>
    <w:pPr>
      <w:spacing w:after="0" w:line="240" w:lineRule="auto"/>
    </w:pPr>
  </w:style>
  <w:style w:type="character" w:styleId="UnresolvedMention">
    <w:name w:val="Unresolved Mention"/>
    <w:basedOn w:val="DefaultParagraphFont"/>
    <w:uiPriority w:val="99"/>
    <w:semiHidden/>
    <w:unhideWhenUsed/>
    <w:rsid w:val="00BE772C"/>
    <w:rPr>
      <w:color w:val="605E5C"/>
      <w:shd w:val="clear" w:color="auto" w:fill="E1DFDD"/>
    </w:rPr>
  </w:style>
  <w:style w:type="table" w:styleId="TableGrid">
    <w:name w:val="Table Grid"/>
    <w:basedOn w:val="TableNormal"/>
    <w:uiPriority w:val="39"/>
    <w:rsid w:val="00321ABB"/>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2846">
      <w:bodyDiv w:val="1"/>
      <w:marLeft w:val="0"/>
      <w:marRight w:val="0"/>
      <w:marTop w:val="0"/>
      <w:marBottom w:val="0"/>
      <w:divBdr>
        <w:top w:val="none" w:sz="0" w:space="0" w:color="auto"/>
        <w:left w:val="none" w:sz="0" w:space="0" w:color="auto"/>
        <w:bottom w:val="none" w:sz="0" w:space="0" w:color="auto"/>
        <w:right w:val="none" w:sz="0" w:space="0" w:color="auto"/>
      </w:divBdr>
    </w:div>
    <w:div w:id="734665168">
      <w:bodyDiv w:val="1"/>
      <w:marLeft w:val="0"/>
      <w:marRight w:val="0"/>
      <w:marTop w:val="0"/>
      <w:marBottom w:val="0"/>
      <w:divBdr>
        <w:top w:val="none" w:sz="0" w:space="0" w:color="auto"/>
        <w:left w:val="none" w:sz="0" w:space="0" w:color="auto"/>
        <w:bottom w:val="none" w:sz="0" w:space="0" w:color="auto"/>
        <w:right w:val="none" w:sz="0" w:space="0" w:color="auto"/>
      </w:divBdr>
      <w:divsChild>
        <w:div w:id="696275332">
          <w:marLeft w:val="0"/>
          <w:marRight w:val="0"/>
          <w:marTop w:val="0"/>
          <w:marBottom w:val="0"/>
          <w:divBdr>
            <w:top w:val="none" w:sz="0" w:space="0" w:color="auto"/>
            <w:left w:val="none" w:sz="0" w:space="0" w:color="auto"/>
            <w:bottom w:val="none" w:sz="0" w:space="0" w:color="auto"/>
            <w:right w:val="none" w:sz="0" w:space="0" w:color="auto"/>
          </w:divBdr>
          <w:divsChild>
            <w:div w:id="889927371">
              <w:marLeft w:val="0"/>
              <w:marRight w:val="0"/>
              <w:marTop w:val="0"/>
              <w:marBottom w:val="0"/>
              <w:divBdr>
                <w:top w:val="none" w:sz="0" w:space="0" w:color="auto"/>
                <w:left w:val="none" w:sz="0" w:space="0" w:color="auto"/>
                <w:bottom w:val="none" w:sz="0" w:space="0" w:color="auto"/>
                <w:right w:val="none" w:sz="0" w:space="0" w:color="auto"/>
              </w:divBdr>
            </w:div>
            <w:div w:id="1095707613">
              <w:marLeft w:val="0"/>
              <w:marRight w:val="0"/>
              <w:marTop w:val="0"/>
              <w:marBottom w:val="0"/>
              <w:divBdr>
                <w:top w:val="none" w:sz="0" w:space="0" w:color="auto"/>
                <w:left w:val="none" w:sz="0" w:space="0" w:color="auto"/>
                <w:bottom w:val="none" w:sz="0" w:space="0" w:color="auto"/>
                <w:right w:val="none" w:sz="0" w:space="0" w:color="auto"/>
              </w:divBdr>
            </w:div>
          </w:divsChild>
        </w:div>
        <w:div w:id="1639022242">
          <w:marLeft w:val="0"/>
          <w:marRight w:val="0"/>
          <w:marTop w:val="0"/>
          <w:marBottom w:val="0"/>
          <w:divBdr>
            <w:top w:val="none" w:sz="0" w:space="0" w:color="auto"/>
            <w:left w:val="none" w:sz="0" w:space="0" w:color="auto"/>
            <w:bottom w:val="none" w:sz="0" w:space="0" w:color="auto"/>
            <w:right w:val="none" w:sz="0" w:space="0" w:color="auto"/>
          </w:divBdr>
          <w:divsChild>
            <w:div w:id="1536579035">
              <w:marLeft w:val="0"/>
              <w:marRight w:val="0"/>
              <w:marTop w:val="0"/>
              <w:marBottom w:val="0"/>
              <w:divBdr>
                <w:top w:val="none" w:sz="0" w:space="0" w:color="auto"/>
                <w:left w:val="none" w:sz="0" w:space="0" w:color="auto"/>
                <w:bottom w:val="none" w:sz="0" w:space="0" w:color="auto"/>
                <w:right w:val="none" w:sz="0" w:space="0" w:color="auto"/>
              </w:divBdr>
            </w:div>
            <w:div w:id="1783572355">
              <w:marLeft w:val="0"/>
              <w:marRight w:val="0"/>
              <w:marTop w:val="0"/>
              <w:marBottom w:val="0"/>
              <w:divBdr>
                <w:top w:val="none" w:sz="0" w:space="0" w:color="auto"/>
                <w:left w:val="none" w:sz="0" w:space="0" w:color="auto"/>
                <w:bottom w:val="none" w:sz="0" w:space="0" w:color="auto"/>
                <w:right w:val="none" w:sz="0" w:space="0" w:color="auto"/>
              </w:divBdr>
            </w:div>
            <w:div w:id="1910384606">
              <w:marLeft w:val="0"/>
              <w:marRight w:val="0"/>
              <w:marTop w:val="0"/>
              <w:marBottom w:val="0"/>
              <w:divBdr>
                <w:top w:val="none" w:sz="0" w:space="0" w:color="auto"/>
                <w:left w:val="none" w:sz="0" w:space="0" w:color="auto"/>
                <w:bottom w:val="none" w:sz="0" w:space="0" w:color="auto"/>
                <w:right w:val="none" w:sz="0" w:space="0" w:color="auto"/>
              </w:divBdr>
            </w:div>
            <w:div w:id="19924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9727">
      <w:bodyDiv w:val="1"/>
      <w:marLeft w:val="0"/>
      <w:marRight w:val="0"/>
      <w:marTop w:val="0"/>
      <w:marBottom w:val="0"/>
      <w:divBdr>
        <w:top w:val="none" w:sz="0" w:space="0" w:color="auto"/>
        <w:left w:val="none" w:sz="0" w:space="0" w:color="auto"/>
        <w:bottom w:val="none" w:sz="0" w:space="0" w:color="auto"/>
        <w:right w:val="none" w:sz="0" w:space="0" w:color="auto"/>
      </w:divBdr>
    </w:div>
    <w:div w:id="1345090497">
      <w:bodyDiv w:val="1"/>
      <w:marLeft w:val="0"/>
      <w:marRight w:val="0"/>
      <w:marTop w:val="0"/>
      <w:marBottom w:val="0"/>
      <w:divBdr>
        <w:top w:val="none" w:sz="0" w:space="0" w:color="auto"/>
        <w:left w:val="none" w:sz="0" w:space="0" w:color="auto"/>
        <w:bottom w:val="none" w:sz="0" w:space="0" w:color="auto"/>
        <w:right w:val="none" w:sz="0" w:space="0" w:color="auto"/>
      </w:divBdr>
      <w:divsChild>
        <w:div w:id="493841510">
          <w:marLeft w:val="0"/>
          <w:marRight w:val="0"/>
          <w:marTop w:val="0"/>
          <w:marBottom w:val="0"/>
          <w:divBdr>
            <w:top w:val="none" w:sz="0" w:space="0" w:color="auto"/>
            <w:left w:val="none" w:sz="0" w:space="0" w:color="auto"/>
            <w:bottom w:val="none" w:sz="0" w:space="0" w:color="auto"/>
            <w:right w:val="none" w:sz="0" w:space="0" w:color="auto"/>
          </w:divBdr>
          <w:divsChild>
            <w:div w:id="40978715">
              <w:marLeft w:val="0"/>
              <w:marRight w:val="0"/>
              <w:marTop w:val="0"/>
              <w:marBottom w:val="0"/>
              <w:divBdr>
                <w:top w:val="none" w:sz="0" w:space="0" w:color="auto"/>
                <w:left w:val="none" w:sz="0" w:space="0" w:color="auto"/>
                <w:bottom w:val="none" w:sz="0" w:space="0" w:color="auto"/>
                <w:right w:val="none" w:sz="0" w:space="0" w:color="auto"/>
              </w:divBdr>
            </w:div>
            <w:div w:id="119346530">
              <w:marLeft w:val="0"/>
              <w:marRight w:val="0"/>
              <w:marTop w:val="0"/>
              <w:marBottom w:val="0"/>
              <w:divBdr>
                <w:top w:val="none" w:sz="0" w:space="0" w:color="auto"/>
                <w:left w:val="none" w:sz="0" w:space="0" w:color="auto"/>
                <w:bottom w:val="none" w:sz="0" w:space="0" w:color="auto"/>
                <w:right w:val="none" w:sz="0" w:space="0" w:color="auto"/>
              </w:divBdr>
            </w:div>
            <w:div w:id="1001926914">
              <w:marLeft w:val="0"/>
              <w:marRight w:val="0"/>
              <w:marTop w:val="0"/>
              <w:marBottom w:val="0"/>
              <w:divBdr>
                <w:top w:val="none" w:sz="0" w:space="0" w:color="auto"/>
                <w:left w:val="none" w:sz="0" w:space="0" w:color="auto"/>
                <w:bottom w:val="none" w:sz="0" w:space="0" w:color="auto"/>
                <w:right w:val="none" w:sz="0" w:space="0" w:color="auto"/>
              </w:divBdr>
            </w:div>
            <w:div w:id="1089814947">
              <w:marLeft w:val="0"/>
              <w:marRight w:val="0"/>
              <w:marTop w:val="0"/>
              <w:marBottom w:val="0"/>
              <w:divBdr>
                <w:top w:val="none" w:sz="0" w:space="0" w:color="auto"/>
                <w:left w:val="none" w:sz="0" w:space="0" w:color="auto"/>
                <w:bottom w:val="none" w:sz="0" w:space="0" w:color="auto"/>
                <w:right w:val="none" w:sz="0" w:space="0" w:color="auto"/>
              </w:divBdr>
            </w:div>
            <w:div w:id="2057392637">
              <w:marLeft w:val="0"/>
              <w:marRight w:val="0"/>
              <w:marTop w:val="0"/>
              <w:marBottom w:val="0"/>
              <w:divBdr>
                <w:top w:val="none" w:sz="0" w:space="0" w:color="auto"/>
                <w:left w:val="none" w:sz="0" w:space="0" w:color="auto"/>
                <w:bottom w:val="none" w:sz="0" w:space="0" w:color="auto"/>
                <w:right w:val="none" w:sz="0" w:space="0" w:color="auto"/>
              </w:divBdr>
            </w:div>
          </w:divsChild>
        </w:div>
        <w:div w:id="1691829879">
          <w:marLeft w:val="0"/>
          <w:marRight w:val="0"/>
          <w:marTop w:val="0"/>
          <w:marBottom w:val="0"/>
          <w:divBdr>
            <w:top w:val="none" w:sz="0" w:space="0" w:color="auto"/>
            <w:left w:val="none" w:sz="0" w:space="0" w:color="auto"/>
            <w:bottom w:val="none" w:sz="0" w:space="0" w:color="auto"/>
            <w:right w:val="none" w:sz="0" w:space="0" w:color="auto"/>
          </w:divBdr>
          <w:divsChild>
            <w:div w:id="160125039">
              <w:marLeft w:val="0"/>
              <w:marRight w:val="0"/>
              <w:marTop w:val="0"/>
              <w:marBottom w:val="0"/>
              <w:divBdr>
                <w:top w:val="none" w:sz="0" w:space="0" w:color="auto"/>
                <w:left w:val="none" w:sz="0" w:space="0" w:color="auto"/>
                <w:bottom w:val="none" w:sz="0" w:space="0" w:color="auto"/>
                <w:right w:val="none" w:sz="0" w:space="0" w:color="auto"/>
              </w:divBdr>
            </w:div>
            <w:div w:id="824782964">
              <w:marLeft w:val="0"/>
              <w:marRight w:val="0"/>
              <w:marTop w:val="0"/>
              <w:marBottom w:val="0"/>
              <w:divBdr>
                <w:top w:val="none" w:sz="0" w:space="0" w:color="auto"/>
                <w:left w:val="none" w:sz="0" w:space="0" w:color="auto"/>
                <w:bottom w:val="none" w:sz="0" w:space="0" w:color="auto"/>
                <w:right w:val="none" w:sz="0" w:space="0" w:color="auto"/>
              </w:divBdr>
            </w:div>
          </w:divsChild>
        </w:div>
        <w:div w:id="1935934335">
          <w:marLeft w:val="0"/>
          <w:marRight w:val="0"/>
          <w:marTop w:val="0"/>
          <w:marBottom w:val="0"/>
          <w:divBdr>
            <w:top w:val="none" w:sz="0" w:space="0" w:color="auto"/>
            <w:left w:val="none" w:sz="0" w:space="0" w:color="auto"/>
            <w:bottom w:val="none" w:sz="0" w:space="0" w:color="auto"/>
            <w:right w:val="none" w:sz="0" w:space="0" w:color="auto"/>
          </w:divBdr>
          <w:divsChild>
            <w:div w:id="63262842">
              <w:marLeft w:val="0"/>
              <w:marRight w:val="0"/>
              <w:marTop w:val="0"/>
              <w:marBottom w:val="0"/>
              <w:divBdr>
                <w:top w:val="none" w:sz="0" w:space="0" w:color="auto"/>
                <w:left w:val="none" w:sz="0" w:space="0" w:color="auto"/>
                <w:bottom w:val="none" w:sz="0" w:space="0" w:color="auto"/>
                <w:right w:val="none" w:sz="0" w:space="0" w:color="auto"/>
              </w:divBdr>
            </w:div>
            <w:div w:id="553276126">
              <w:marLeft w:val="0"/>
              <w:marRight w:val="0"/>
              <w:marTop w:val="0"/>
              <w:marBottom w:val="0"/>
              <w:divBdr>
                <w:top w:val="none" w:sz="0" w:space="0" w:color="auto"/>
                <w:left w:val="none" w:sz="0" w:space="0" w:color="auto"/>
                <w:bottom w:val="none" w:sz="0" w:space="0" w:color="auto"/>
                <w:right w:val="none" w:sz="0" w:space="0" w:color="auto"/>
              </w:divBdr>
            </w:div>
            <w:div w:id="1201623913">
              <w:marLeft w:val="0"/>
              <w:marRight w:val="0"/>
              <w:marTop w:val="0"/>
              <w:marBottom w:val="0"/>
              <w:divBdr>
                <w:top w:val="none" w:sz="0" w:space="0" w:color="auto"/>
                <w:left w:val="none" w:sz="0" w:space="0" w:color="auto"/>
                <w:bottom w:val="none" w:sz="0" w:space="0" w:color="auto"/>
                <w:right w:val="none" w:sz="0" w:space="0" w:color="auto"/>
              </w:divBdr>
            </w:div>
            <w:div w:id="1225874605">
              <w:marLeft w:val="0"/>
              <w:marRight w:val="0"/>
              <w:marTop w:val="0"/>
              <w:marBottom w:val="0"/>
              <w:divBdr>
                <w:top w:val="none" w:sz="0" w:space="0" w:color="auto"/>
                <w:left w:val="none" w:sz="0" w:space="0" w:color="auto"/>
                <w:bottom w:val="none" w:sz="0" w:space="0" w:color="auto"/>
                <w:right w:val="none" w:sz="0" w:space="0" w:color="auto"/>
              </w:divBdr>
            </w:div>
            <w:div w:id="12388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7226/2552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20340BAF7DCA439AA1761B5607FD9E" ma:contentTypeVersion="9" ma:contentTypeDescription="Create a new document." ma:contentTypeScope="" ma:versionID="87c8f6f3f9d09d2842ad39570de72655">
  <xsd:schema xmlns:xsd="http://www.w3.org/2001/XMLSchema" xmlns:xs="http://www.w3.org/2001/XMLSchema" xmlns:p="http://schemas.microsoft.com/office/2006/metadata/properties" xmlns:ns2="5db71958-a04f-45eb-8bd2-fb409b518b11" xmlns:ns3="a9c760d8-0301-4acb-b823-14fbc10a786f" targetNamespace="http://schemas.microsoft.com/office/2006/metadata/properties" ma:root="true" ma:fieldsID="77573c382e27ad96b82b33a4a6e35825" ns2:_="" ns3:_="">
    <xsd:import namespace="5db71958-a04f-45eb-8bd2-fb409b518b11"/>
    <xsd:import namespace="a9c760d8-0301-4acb-b823-14fbc10a786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71958-a04f-45eb-8bd2-fb409b518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c760d8-0301-4acb-b823-14fbc10a786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989697d-7fb6-4af8-80ba-a15b31096203}" ma:internalName="TaxCatchAll" ma:showField="CatchAllData" ma:web="a9c760d8-0301-4acb-b823-14fbc10a78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db71958-a04f-45eb-8bd2-fb409b518b11">
      <Terms xmlns="http://schemas.microsoft.com/office/infopath/2007/PartnerControls"/>
    </lcf76f155ced4ddcb4097134ff3c332f>
    <TaxCatchAll xmlns="a9c760d8-0301-4acb-b823-14fbc10a786f" xsi:nil="true"/>
  </documentManagement>
</p:properties>
</file>

<file path=customXml/itemProps1.xml><?xml version="1.0" encoding="utf-8"?>
<ds:datastoreItem xmlns:ds="http://schemas.openxmlformats.org/officeDocument/2006/customXml" ds:itemID="{8922D72A-BB9C-4D72-AB4A-76C2072B7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71958-a04f-45eb-8bd2-fb409b518b11"/>
    <ds:schemaRef ds:uri="a9c760d8-0301-4acb-b823-14fbc10a78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199974-5656-43ED-B499-7386A492DDE9}">
  <ds:schemaRefs>
    <ds:schemaRef ds:uri="http://schemas.microsoft.com/sharepoint/v3/contenttype/forms"/>
  </ds:schemaRefs>
</ds:datastoreItem>
</file>

<file path=customXml/itemProps3.xml><?xml version="1.0" encoding="utf-8"?>
<ds:datastoreItem xmlns:ds="http://schemas.openxmlformats.org/officeDocument/2006/customXml" ds:itemID="{9D09D036-F1B0-4FC1-893C-A00C8F44EC33}">
  <ds:schemaRefs>
    <ds:schemaRef ds:uri="5db71958-a04f-45eb-8bd2-fb409b518b11"/>
    <ds:schemaRef ds:uri="http://purl.org/dc/terms/"/>
    <ds:schemaRef ds:uri="http://schemas.microsoft.com/office/2006/documentManagement/types"/>
    <ds:schemaRef ds:uri="http://purl.org/dc/elements/1.1/"/>
    <ds:schemaRef ds:uri="http://purl.org/dc/dcmitype/"/>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a9c760d8-0301-4acb-b823-14fbc10a786f"/>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22</Pages>
  <Words>5980</Words>
  <Characters>34091</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Steuber, Taylor</dc:creator>
  <cp:keywords/>
  <dc:description/>
  <cp:lastModifiedBy>Steuber, Taylor</cp:lastModifiedBy>
  <cp:revision>215</cp:revision>
  <dcterms:created xsi:type="dcterms:W3CDTF">2023-07-12T18:19:00Z</dcterms:created>
  <dcterms:modified xsi:type="dcterms:W3CDTF">2023-08-31T18:30:00Z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0x0101002420340BAF7DCA439AA1761B5607FD9E</vt:lpwstr>
  </property>
  <property fmtid="{D5CDD505-2E9C-101B-9397-08002B2CF9AE}" pid="3" name="MediaServiceImageTags">
    <vt:lpwstr/>
  </property>
</Properties>
</file>